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02E" w:rsidRPr="008D14C7" w:rsidRDefault="0081302E" w:rsidP="0081302E">
      <w:pPr>
        <w:spacing w:after="0" w:line="240" w:lineRule="auto"/>
        <w:rPr>
          <w:rFonts w:ascii="Times New Roman" w:hAnsi="Times New Roman" w:cs="Times New Roman"/>
          <w:b/>
          <w:sz w:val="24"/>
          <w:szCs w:val="24"/>
        </w:rPr>
      </w:pPr>
      <w:r w:rsidRPr="008D14C7">
        <w:rPr>
          <w:rFonts w:ascii="Times New Roman" w:hAnsi="Times New Roman" w:cs="Times New Roman"/>
          <w:b/>
          <w:sz w:val="24"/>
          <w:szCs w:val="24"/>
          <w:lang w:val="bg-BG"/>
        </w:rPr>
        <w:t>ПОЯСНИТЕЛНИ ПРИЛОЖЕНИЯ КЪМ ФИНАНСОВ ОТЧЕТ</w:t>
      </w:r>
      <w:r w:rsidR="00856748" w:rsidRPr="008D14C7">
        <w:rPr>
          <w:rFonts w:ascii="Times New Roman" w:hAnsi="Times New Roman" w:cs="Times New Roman"/>
          <w:b/>
          <w:sz w:val="24"/>
          <w:szCs w:val="24"/>
          <w:lang w:val="bg-BG"/>
        </w:rPr>
        <w:t xml:space="preserve">към </w:t>
      </w:r>
      <w:r w:rsidR="00DE25F2">
        <w:rPr>
          <w:rFonts w:ascii="Times New Roman" w:hAnsi="Times New Roman" w:cs="Times New Roman"/>
          <w:b/>
          <w:sz w:val="24"/>
          <w:szCs w:val="24"/>
        </w:rPr>
        <w:t>3</w:t>
      </w:r>
      <w:r w:rsidR="003B4161">
        <w:rPr>
          <w:rFonts w:ascii="Times New Roman" w:hAnsi="Times New Roman" w:cs="Times New Roman"/>
          <w:b/>
          <w:sz w:val="24"/>
          <w:szCs w:val="24"/>
        </w:rPr>
        <w:t>0</w:t>
      </w:r>
      <w:r w:rsidR="00856748" w:rsidRPr="008D14C7">
        <w:rPr>
          <w:rFonts w:ascii="Times New Roman" w:hAnsi="Times New Roman" w:cs="Times New Roman"/>
          <w:b/>
          <w:sz w:val="24"/>
          <w:szCs w:val="24"/>
          <w:lang w:val="bg-BG"/>
        </w:rPr>
        <w:t>.</w:t>
      </w:r>
      <w:r w:rsidR="00C92F90">
        <w:rPr>
          <w:rFonts w:ascii="Times New Roman" w:hAnsi="Times New Roman" w:cs="Times New Roman"/>
          <w:b/>
          <w:sz w:val="24"/>
          <w:szCs w:val="24"/>
        </w:rPr>
        <w:t>0</w:t>
      </w:r>
      <w:r w:rsidR="003B4161">
        <w:rPr>
          <w:rFonts w:ascii="Times New Roman" w:hAnsi="Times New Roman" w:cs="Times New Roman"/>
          <w:b/>
          <w:sz w:val="24"/>
          <w:szCs w:val="24"/>
        </w:rPr>
        <w:t>9</w:t>
      </w:r>
      <w:r w:rsidR="00C92F90">
        <w:rPr>
          <w:rFonts w:ascii="Times New Roman" w:hAnsi="Times New Roman" w:cs="Times New Roman"/>
          <w:b/>
          <w:sz w:val="24"/>
          <w:szCs w:val="24"/>
          <w:lang w:val="bg-BG"/>
        </w:rPr>
        <w:t>.20</w:t>
      </w:r>
      <w:r w:rsidR="00C92F90">
        <w:rPr>
          <w:rFonts w:ascii="Times New Roman" w:hAnsi="Times New Roman" w:cs="Times New Roman"/>
          <w:b/>
          <w:sz w:val="24"/>
          <w:szCs w:val="24"/>
        </w:rPr>
        <w:t>19</w:t>
      </w:r>
      <w:r w:rsidRPr="008D14C7">
        <w:rPr>
          <w:rFonts w:ascii="Times New Roman" w:hAnsi="Times New Roman" w:cs="Times New Roman"/>
          <w:b/>
          <w:sz w:val="24"/>
          <w:szCs w:val="24"/>
          <w:lang w:val="bg-BG"/>
        </w:rPr>
        <w:t xml:space="preserve"> г.</w:t>
      </w:r>
    </w:p>
    <w:p w:rsidR="0081302E" w:rsidRPr="008D14C7" w:rsidRDefault="0081302E" w:rsidP="0081302E">
      <w:pPr>
        <w:spacing w:after="0" w:line="240" w:lineRule="auto"/>
        <w:rPr>
          <w:rFonts w:ascii="Times New Roman" w:hAnsi="Times New Roman" w:cs="Times New Roman"/>
          <w:b/>
          <w:sz w:val="24"/>
          <w:szCs w:val="24"/>
        </w:rPr>
      </w:pPr>
    </w:p>
    <w:p w:rsidR="0081302E" w:rsidRPr="008D14C7" w:rsidRDefault="0081302E" w:rsidP="0081302E">
      <w:pPr>
        <w:spacing w:after="0" w:line="240" w:lineRule="auto"/>
        <w:rPr>
          <w:rFonts w:ascii="Times New Roman" w:hAnsi="Times New Roman" w:cs="Times New Roman"/>
          <w:b/>
          <w:sz w:val="24"/>
          <w:szCs w:val="24"/>
          <w:lang w:val="bg-BG"/>
        </w:rPr>
      </w:pPr>
    </w:p>
    <w:p w:rsidR="0081302E" w:rsidRPr="008D14C7" w:rsidRDefault="0081302E" w:rsidP="00764346">
      <w:pPr>
        <w:pStyle w:val="ListParagraph"/>
        <w:spacing w:after="0" w:line="240" w:lineRule="auto"/>
        <w:ind w:left="0"/>
        <w:rPr>
          <w:rFonts w:ascii="Times New Roman" w:hAnsi="Times New Roman" w:cs="Times New Roman"/>
          <w:b/>
          <w:sz w:val="24"/>
          <w:szCs w:val="24"/>
          <w:lang w:val="bg-BG"/>
        </w:rPr>
      </w:pPr>
      <w:r w:rsidRPr="008D14C7">
        <w:rPr>
          <w:rFonts w:ascii="Times New Roman" w:hAnsi="Times New Roman" w:cs="Times New Roman"/>
          <w:b/>
          <w:sz w:val="24"/>
          <w:szCs w:val="24"/>
          <w:lang w:val="bg-BG"/>
        </w:rPr>
        <w:t>ОБЩА КОРПОРАТИВНА ИНФОРМАЦИЯ</w:t>
      </w:r>
    </w:p>
    <w:p w:rsidR="0081302E" w:rsidRPr="008D14C7" w:rsidRDefault="0081302E" w:rsidP="0081302E">
      <w:pPr>
        <w:spacing w:after="0" w:line="240" w:lineRule="auto"/>
        <w:rPr>
          <w:rFonts w:ascii="Times New Roman" w:hAnsi="Times New Roman" w:cs="Times New Roman"/>
          <w:b/>
          <w:sz w:val="24"/>
          <w:szCs w:val="24"/>
          <w:lang w:val="bg-BG"/>
        </w:rPr>
      </w:pPr>
    </w:p>
    <w:p w:rsidR="0081302E" w:rsidRPr="008D14C7" w:rsidRDefault="0081302E" w:rsidP="0081302E">
      <w:pPr>
        <w:spacing w:line="360" w:lineRule="auto"/>
        <w:jc w:val="both"/>
        <w:rPr>
          <w:rFonts w:ascii="Times New Roman" w:hAnsi="Times New Roman" w:cs="Times New Roman"/>
          <w:sz w:val="24"/>
          <w:szCs w:val="24"/>
          <w:u w:val="double"/>
          <w:lang w:val="bg-BG"/>
        </w:rPr>
      </w:pPr>
      <w:r w:rsidRPr="008D14C7">
        <w:rPr>
          <w:rFonts w:ascii="Times New Roman" w:hAnsi="Times New Roman" w:cs="Times New Roman"/>
          <w:sz w:val="24"/>
          <w:szCs w:val="24"/>
          <w:lang w:val="bg-BG"/>
        </w:rPr>
        <w:t xml:space="preserve">„ЕУРОТЕРРА БЪЛГАРИЯ”акционерно дружество, регистрирано с Решение № 1 по ф.д. 6219/2003г.на СГС и в Търговския регистър с ЕИК 131104838. Седалището и адресът на управление на дружеството е гр. София 1000, бул. Витоша 1, ет. 6. </w:t>
      </w:r>
    </w:p>
    <w:p w:rsidR="0081302E" w:rsidRPr="008D14C7" w:rsidRDefault="0081302E" w:rsidP="0081302E">
      <w:pPr>
        <w:jc w:val="both"/>
        <w:rPr>
          <w:rFonts w:ascii="Times New Roman" w:hAnsi="Times New Roman" w:cs="Times New Roman"/>
          <w:sz w:val="24"/>
          <w:szCs w:val="24"/>
          <w:lang w:val="bg-BG"/>
        </w:rPr>
      </w:pPr>
      <w:r w:rsidRPr="008D14C7">
        <w:rPr>
          <w:rFonts w:ascii="Times New Roman" w:hAnsi="Times New Roman" w:cs="Times New Roman"/>
          <w:sz w:val="24"/>
          <w:szCs w:val="24"/>
          <w:lang w:val="bg-BG"/>
        </w:rPr>
        <w:tab/>
        <w:t>Предметът на дейност  е покупки, продажби, ипотеки, отдаване под наем и управление на недвижими имоти, сгради и сгради архитектурни паметници, осигуряване на брокерски и други консултантски услуги в областта на недвижимите имоти; строителство на сгради, жилищни комплекси, търговски и административни сгради, хотели, складови помещения, както и всякакви други сгради с каквото и да е предназначение; придобиване и строителство срещу обезщетение; осигуряване на услуги и инвестиции в областта на строителството, както и всякакви други услуги свързани с управлението и техническата поддръжка на недвижима собственост; покупка, прехвърляне на акции на български и чужди фирми, внос и износ, търговия, търговско представителство на физически и юридически лица от страната и чужбина, покупка на дялове от фирми с какъвто и да е предмет на дейност, както и всяка друга дейност незабранена от закона.</w:t>
      </w:r>
    </w:p>
    <w:p w:rsidR="0081302E" w:rsidRPr="008D14C7" w:rsidRDefault="00C92F90" w:rsidP="00C92F90">
      <w:pPr>
        <w:spacing w:before="120" w:after="60" w:line="280" w:lineRule="exact"/>
        <w:rPr>
          <w:rFonts w:ascii="Times New Roman" w:hAnsi="Times New Roman" w:cs="Times New Roman"/>
          <w:bCs/>
          <w:sz w:val="24"/>
          <w:szCs w:val="24"/>
        </w:rPr>
      </w:pPr>
      <w:r>
        <w:rPr>
          <w:rFonts w:ascii="Times New Roman" w:hAnsi="Times New Roman" w:cs="Times New Roman"/>
          <w:sz w:val="24"/>
          <w:szCs w:val="24"/>
        </w:rPr>
        <w:t xml:space="preserve">„ЕУРОТЕРРА БЪЛГАРИЯ” </w:t>
      </w:r>
      <w:r w:rsidR="0081302E" w:rsidRPr="008D14C7">
        <w:rPr>
          <w:rFonts w:ascii="Times New Roman" w:hAnsi="Times New Roman" w:cs="Times New Roman"/>
          <w:sz w:val="24"/>
          <w:szCs w:val="24"/>
        </w:rPr>
        <w:t>АД</w:t>
      </w:r>
      <w:r>
        <w:rPr>
          <w:rFonts w:ascii="Times New Roman" w:hAnsi="Times New Roman" w:cs="Times New Roman"/>
          <w:sz w:val="24"/>
          <w:szCs w:val="24"/>
        </w:rPr>
        <w:t xml:space="preserve"> </w:t>
      </w:r>
      <w:r w:rsidR="0081302E" w:rsidRPr="008D14C7">
        <w:rPr>
          <w:rFonts w:ascii="Times New Roman" w:hAnsi="Times New Roman" w:cs="Times New Roman"/>
          <w:bCs/>
          <w:sz w:val="24"/>
          <w:szCs w:val="24"/>
        </w:rPr>
        <w:t>планира</w:t>
      </w:r>
      <w:r>
        <w:rPr>
          <w:rFonts w:ascii="Times New Roman" w:hAnsi="Times New Roman" w:cs="Times New Roman"/>
          <w:bCs/>
          <w:sz w:val="24"/>
          <w:szCs w:val="24"/>
        </w:rPr>
        <w:t xml:space="preserve"> </w:t>
      </w:r>
      <w:r w:rsidR="0081302E" w:rsidRPr="008D14C7">
        <w:rPr>
          <w:rFonts w:ascii="Times New Roman" w:hAnsi="Times New Roman" w:cs="Times New Roman"/>
          <w:bCs/>
          <w:sz w:val="24"/>
          <w:szCs w:val="24"/>
        </w:rPr>
        <w:t>да</w:t>
      </w:r>
      <w:r>
        <w:rPr>
          <w:rFonts w:ascii="Times New Roman" w:hAnsi="Times New Roman" w:cs="Times New Roman"/>
          <w:bCs/>
          <w:sz w:val="24"/>
          <w:szCs w:val="24"/>
        </w:rPr>
        <w:t xml:space="preserve"> </w:t>
      </w:r>
      <w:r w:rsidR="0081302E" w:rsidRPr="008D14C7">
        <w:rPr>
          <w:rFonts w:ascii="Times New Roman" w:hAnsi="Times New Roman" w:cs="Times New Roman"/>
          <w:bCs/>
          <w:sz w:val="24"/>
          <w:szCs w:val="24"/>
        </w:rPr>
        <w:t>запази</w:t>
      </w:r>
      <w:r>
        <w:rPr>
          <w:rFonts w:ascii="Times New Roman" w:hAnsi="Times New Roman" w:cs="Times New Roman"/>
          <w:bCs/>
          <w:sz w:val="24"/>
          <w:szCs w:val="24"/>
        </w:rPr>
        <w:t xml:space="preserve"> </w:t>
      </w:r>
      <w:r w:rsidR="0081302E" w:rsidRPr="008D14C7">
        <w:rPr>
          <w:rFonts w:ascii="Times New Roman" w:hAnsi="Times New Roman" w:cs="Times New Roman"/>
          <w:bCs/>
          <w:sz w:val="24"/>
          <w:szCs w:val="24"/>
        </w:rPr>
        <w:t>сегашната</w:t>
      </w:r>
      <w:r>
        <w:rPr>
          <w:rFonts w:ascii="Times New Roman" w:hAnsi="Times New Roman" w:cs="Times New Roman"/>
          <w:bCs/>
          <w:sz w:val="24"/>
          <w:szCs w:val="24"/>
        </w:rPr>
        <w:t xml:space="preserve"> </w:t>
      </w:r>
      <w:r w:rsidR="0081302E" w:rsidRPr="008D14C7">
        <w:rPr>
          <w:rFonts w:ascii="Times New Roman" w:hAnsi="Times New Roman" w:cs="Times New Roman"/>
          <w:bCs/>
          <w:sz w:val="24"/>
          <w:szCs w:val="24"/>
        </w:rPr>
        <w:t>си</w:t>
      </w:r>
      <w:r>
        <w:rPr>
          <w:rFonts w:ascii="Times New Roman" w:hAnsi="Times New Roman" w:cs="Times New Roman"/>
          <w:bCs/>
          <w:sz w:val="24"/>
          <w:szCs w:val="24"/>
        </w:rPr>
        <w:t xml:space="preserve"> </w:t>
      </w:r>
      <w:r w:rsidR="0081302E" w:rsidRPr="008D14C7">
        <w:rPr>
          <w:rFonts w:ascii="Times New Roman" w:hAnsi="Times New Roman" w:cs="Times New Roman"/>
          <w:bCs/>
          <w:sz w:val="24"/>
          <w:szCs w:val="24"/>
        </w:rPr>
        <w:t>дейност</w:t>
      </w:r>
      <w:r>
        <w:rPr>
          <w:rFonts w:ascii="Times New Roman" w:hAnsi="Times New Roman" w:cs="Times New Roman"/>
          <w:bCs/>
          <w:sz w:val="24"/>
          <w:szCs w:val="24"/>
        </w:rPr>
        <w:t xml:space="preserve"> </w:t>
      </w:r>
      <w:r w:rsidR="0081302E" w:rsidRPr="008D14C7">
        <w:rPr>
          <w:rFonts w:ascii="Times New Roman" w:hAnsi="Times New Roman" w:cs="Times New Roman"/>
          <w:bCs/>
          <w:sz w:val="24"/>
          <w:szCs w:val="24"/>
        </w:rPr>
        <w:t>чрез</w:t>
      </w:r>
      <w:r>
        <w:rPr>
          <w:rFonts w:ascii="Times New Roman" w:hAnsi="Times New Roman" w:cs="Times New Roman"/>
          <w:bCs/>
          <w:sz w:val="24"/>
          <w:szCs w:val="24"/>
        </w:rPr>
        <w:t xml:space="preserve"> </w:t>
      </w:r>
      <w:r w:rsidR="0081302E" w:rsidRPr="008D14C7">
        <w:rPr>
          <w:rFonts w:ascii="Times New Roman" w:hAnsi="Times New Roman" w:cs="Times New Roman"/>
          <w:bCs/>
          <w:sz w:val="24"/>
          <w:szCs w:val="24"/>
        </w:rPr>
        <w:t>развитие</w:t>
      </w:r>
      <w:r>
        <w:rPr>
          <w:rFonts w:ascii="Times New Roman" w:hAnsi="Times New Roman" w:cs="Times New Roman"/>
          <w:bCs/>
          <w:sz w:val="24"/>
          <w:szCs w:val="24"/>
        </w:rPr>
        <w:t xml:space="preserve"> </w:t>
      </w:r>
      <w:r w:rsidR="0081302E" w:rsidRPr="008D14C7">
        <w:rPr>
          <w:rFonts w:ascii="Times New Roman" w:hAnsi="Times New Roman" w:cs="Times New Roman"/>
          <w:bCs/>
          <w:sz w:val="24"/>
          <w:szCs w:val="24"/>
        </w:rPr>
        <w:t>на</w:t>
      </w:r>
      <w:r>
        <w:rPr>
          <w:rFonts w:ascii="Times New Roman" w:hAnsi="Times New Roman" w:cs="Times New Roman"/>
          <w:bCs/>
          <w:sz w:val="24"/>
          <w:szCs w:val="24"/>
        </w:rPr>
        <w:t xml:space="preserve"> </w:t>
      </w:r>
      <w:r w:rsidR="0081302E" w:rsidRPr="008D14C7">
        <w:rPr>
          <w:rFonts w:ascii="Times New Roman" w:hAnsi="Times New Roman" w:cs="Times New Roman"/>
          <w:bCs/>
          <w:sz w:val="24"/>
          <w:szCs w:val="24"/>
        </w:rPr>
        <w:t>политиката</w:t>
      </w:r>
      <w:r>
        <w:rPr>
          <w:rFonts w:ascii="Times New Roman" w:hAnsi="Times New Roman" w:cs="Times New Roman"/>
          <w:bCs/>
          <w:sz w:val="24"/>
          <w:szCs w:val="24"/>
        </w:rPr>
        <w:t xml:space="preserve"> </w:t>
      </w:r>
      <w:r w:rsidR="0081302E" w:rsidRPr="008D14C7">
        <w:rPr>
          <w:rFonts w:ascii="Times New Roman" w:hAnsi="Times New Roman" w:cs="Times New Roman"/>
          <w:bCs/>
          <w:sz w:val="24"/>
          <w:szCs w:val="24"/>
        </w:rPr>
        <w:t>на</w:t>
      </w:r>
      <w:r>
        <w:rPr>
          <w:rFonts w:ascii="Times New Roman" w:hAnsi="Times New Roman" w:cs="Times New Roman"/>
          <w:bCs/>
          <w:sz w:val="24"/>
          <w:szCs w:val="24"/>
        </w:rPr>
        <w:t xml:space="preserve"> </w:t>
      </w:r>
      <w:r w:rsidR="0081302E" w:rsidRPr="008D14C7">
        <w:rPr>
          <w:rFonts w:ascii="Times New Roman" w:hAnsi="Times New Roman" w:cs="Times New Roman"/>
          <w:bCs/>
          <w:sz w:val="24"/>
          <w:szCs w:val="24"/>
        </w:rPr>
        <w:t>инвестиции в недвижими</w:t>
      </w:r>
      <w:r>
        <w:rPr>
          <w:rFonts w:ascii="Times New Roman" w:hAnsi="Times New Roman" w:cs="Times New Roman"/>
          <w:bCs/>
          <w:sz w:val="24"/>
          <w:szCs w:val="24"/>
        </w:rPr>
        <w:t xml:space="preserve"> </w:t>
      </w:r>
      <w:r w:rsidR="0081302E" w:rsidRPr="008D14C7">
        <w:rPr>
          <w:rFonts w:ascii="Times New Roman" w:hAnsi="Times New Roman" w:cs="Times New Roman"/>
          <w:bCs/>
          <w:sz w:val="24"/>
          <w:szCs w:val="24"/>
        </w:rPr>
        <w:t>имоти, с потенциал</w:t>
      </w:r>
      <w:r>
        <w:rPr>
          <w:rFonts w:ascii="Times New Roman" w:hAnsi="Times New Roman" w:cs="Times New Roman"/>
          <w:bCs/>
          <w:sz w:val="24"/>
          <w:szCs w:val="24"/>
        </w:rPr>
        <w:t xml:space="preserve"> </w:t>
      </w:r>
      <w:r w:rsidR="0081302E" w:rsidRPr="008D14C7">
        <w:rPr>
          <w:rFonts w:ascii="Times New Roman" w:hAnsi="Times New Roman" w:cs="Times New Roman"/>
          <w:bCs/>
          <w:sz w:val="24"/>
          <w:szCs w:val="24"/>
        </w:rPr>
        <w:t>за</w:t>
      </w:r>
      <w:r>
        <w:rPr>
          <w:rFonts w:ascii="Times New Roman" w:hAnsi="Times New Roman" w:cs="Times New Roman"/>
          <w:bCs/>
          <w:sz w:val="24"/>
          <w:szCs w:val="24"/>
        </w:rPr>
        <w:t xml:space="preserve"> </w:t>
      </w:r>
      <w:r w:rsidR="0081302E" w:rsidRPr="008D14C7">
        <w:rPr>
          <w:rFonts w:ascii="Times New Roman" w:hAnsi="Times New Roman" w:cs="Times New Roman"/>
          <w:bCs/>
          <w:sz w:val="24"/>
          <w:szCs w:val="24"/>
        </w:rPr>
        <w:t>нарастване</w:t>
      </w:r>
      <w:r>
        <w:rPr>
          <w:rFonts w:ascii="Times New Roman" w:hAnsi="Times New Roman" w:cs="Times New Roman"/>
          <w:bCs/>
          <w:sz w:val="24"/>
          <w:szCs w:val="24"/>
        </w:rPr>
        <w:t xml:space="preserve"> </w:t>
      </w:r>
      <w:r w:rsidR="0081302E" w:rsidRPr="008D14C7">
        <w:rPr>
          <w:rFonts w:ascii="Times New Roman" w:hAnsi="Times New Roman" w:cs="Times New Roman"/>
          <w:bCs/>
          <w:sz w:val="24"/>
          <w:szCs w:val="24"/>
        </w:rPr>
        <w:t>на</w:t>
      </w:r>
      <w:r>
        <w:rPr>
          <w:rFonts w:ascii="Times New Roman" w:hAnsi="Times New Roman" w:cs="Times New Roman"/>
          <w:bCs/>
          <w:sz w:val="24"/>
          <w:szCs w:val="24"/>
        </w:rPr>
        <w:t xml:space="preserve"> </w:t>
      </w:r>
      <w:r w:rsidR="0081302E" w:rsidRPr="008D14C7">
        <w:rPr>
          <w:rFonts w:ascii="Times New Roman" w:hAnsi="Times New Roman" w:cs="Times New Roman"/>
          <w:bCs/>
          <w:sz w:val="24"/>
          <w:szCs w:val="24"/>
        </w:rPr>
        <w:t>тяхната</w:t>
      </w:r>
      <w:r>
        <w:rPr>
          <w:rFonts w:ascii="Times New Roman" w:hAnsi="Times New Roman" w:cs="Times New Roman"/>
          <w:bCs/>
          <w:sz w:val="24"/>
          <w:szCs w:val="24"/>
        </w:rPr>
        <w:t xml:space="preserve"> </w:t>
      </w:r>
      <w:r w:rsidR="0081302E" w:rsidRPr="008D14C7">
        <w:rPr>
          <w:rFonts w:ascii="Times New Roman" w:hAnsi="Times New Roman" w:cs="Times New Roman"/>
          <w:bCs/>
          <w:sz w:val="24"/>
          <w:szCs w:val="24"/>
        </w:rPr>
        <w:t>стойност, както и инвестиции в имоти с възможност</w:t>
      </w:r>
      <w:r>
        <w:rPr>
          <w:rFonts w:ascii="Times New Roman" w:hAnsi="Times New Roman" w:cs="Times New Roman"/>
          <w:bCs/>
          <w:sz w:val="24"/>
          <w:szCs w:val="24"/>
        </w:rPr>
        <w:t xml:space="preserve"> </w:t>
      </w:r>
      <w:r w:rsidR="0081302E" w:rsidRPr="008D14C7">
        <w:rPr>
          <w:rFonts w:ascii="Times New Roman" w:hAnsi="Times New Roman" w:cs="Times New Roman"/>
          <w:bCs/>
          <w:sz w:val="24"/>
          <w:szCs w:val="24"/>
        </w:rPr>
        <w:t>за</w:t>
      </w:r>
      <w:r>
        <w:rPr>
          <w:rFonts w:ascii="Times New Roman" w:hAnsi="Times New Roman" w:cs="Times New Roman"/>
          <w:bCs/>
          <w:sz w:val="24"/>
          <w:szCs w:val="24"/>
        </w:rPr>
        <w:t xml:space="preserve"> </w:t>
      </w:r>
      <w:r w:rsidR="0081302E" w:rsidRPr="008D14C7">
        <w:rPr>
          <w:rFonts w:ascii="Times New Roman" w:hAnsi="Times New Roman" w:cs="Times New Roman"/>
          <w:bCs/>
          <w:sz w:val="24"/>
          <w:szCs w:val="24"/>
        </w:rPr>
        <w:t>отдаване</w:t>
      </w:r>
      <w:r>
        <w:rPr>
          <w:rFonts w:ascii="Times New Roman" w:hAnsi="Times New Roman" w:cs="Times New Roman"/>
          <w:bCs/>
          <w:sz w:val="24"/>
          <w:szCs w:val="24"/>
        </w:rPr>
        <w:t xml:space="preserve"> </w:t>
      </w:r>
      <w:r w:rsidR="0081302E" w:rsidRPr="008D14C7">
        <w:rPr>
          <w:rFonts w:ascii="Times New Roman" w:hAnsi="Times New Roman" w:cs="Times New Roman"/>
          <w:bCs/>
          <w:sz w:val="24"/>
          <w:szCs w:val="24"/>
        </w:rPr>
        <w:t>под</w:t>
      </w:r>
      <w:r>
        <w:rPr>
          <w:rFonts w:ascii="Times New Roman" w:hAnsi="Times New Roman" w:cs="Times New Roman"/>
          <w:bCs/>
          <w:sz w:val="24"/>
          <w:szCs w:val="24"/>
        </w:rPr>
        <w:t xml:space="preserve"> </w:t>
      </w:r>
      <w:r w:rsidR="0081302E" w:rsidRPr="008D14C7">
        <w:rPr>
          <w:rFonts w:ascii="Times New Roman" w:hAnsi="Times New Roman" w:cs="Times New Roman"/>
          <w:bCs/>
          <w:sz w:val="24"/>
          <w:szCs w:val="24"/>
        </w:rPr>
        <w:t>наем и реализиране</w:t>
      </w:r>
      <w:r>
        <w:rPr>
          <w:rFonts w:ascii="Times New Roman" w:hAnsi="Times New Roman" w:cs="Times New Roman"/>
          <w:bCs/>
          <w:sz w:val="24"/>
          <w:szCs w:val="24"/>
        </w:rPr>
        <w:t xml:space="preserve"> </w:t>
      </w:r>
      <w:r w:rsidR="0081302E" w:rsidRPr="008D14C7">
        <w:rPr>
          <w:rFonts w:ascii="Times New Roman" w:hAnsi="Times New Roman" w:cs="Times New Roman"/>
          <w:bCs/>
          <w:sz w:val="24"/>
          <w:szCs w:val="24"/>
        </w:rPr>
        <w:t>на</w:t>
      </w:r>
      <w:r>
        <w:rPr>
          <w:rFonts w:ascii="Times New Roman" w:hAnsi="Times New Roman" w:cs="Times New Roman"/>
          <w:bCs/>
          <w:sz w:val="24"/>
          <w:szCs w:val="24"/>
        </w:rPr>
        <w:t xml:space="preserve"> </w:t>
      </w:r>
      <w:r w:rsidR="0081302E" w:rsidRPr="008D14C7">
        <w:rPr>
          <w:rFonts w:ascii="Times New Roman" w:hAnsi="Times New Roman" w:cs="Times New Roman"/>
          <w:bCs/>
          <w:sz w:val="24"/>
          <w:szCs w:val="24"/>
        </w:rPr>
        <w:t>приходи</w:t>
      </w:r>
      <w:r>
        <w:rPr>
          <w:rFonts w:ascii="Times New Roman" w:hAnsi="Times New Roman" w:cs="Times New Roman"/>
          <w:bCs/>
          <w:sz w:val="24"/>
          <w:szCs w:val="24"/>
        </w:rPr>
        <w:t xml:space="preserve"> </w:t>
      </w:r>
      <w:r w:rsidR="0081302E" w:rsidRPr="008D14C7">
        <w:rPr>
          <w:rFonts w:ascii="Times New Roman" w:hAnsi="Times New Roman" w:cs="Times New Roman"/>
          <w:bCs/>
          <w:sz w:val="24"/>
          <w:szCs w:val="24"/>
        </w:rPr>
        <w:t>от</w:t>
      </w:r>
      <w:r>
        <w:rPr>
          <w:rFonts w:ascii="Times New Roman" w:hAnsi="Times New Roman" w:cs="Times New Roman"/>
          <w:bCs/>
          <w:sz w:val="24"/>
          <w:szCs w:val="24"/>
        </w:rPr>
        <w:t xml:space="preserve"> </w:t>
      </w:r>
      <w:r w:rsidR="0081302E" w:rsidRPr="008D14C7">
        <w:rPr>
          <w:rFonts w:ascii="Times New Roman" w:hAnsi="Times New Roman" w:cs="Times New Roman"/>
          <w:bCs/>
          <w:sz w:val="24"/>
          <w:szCs w:val="24"/>
        </w:rPr>
        <w:t>предоставените</w:t>
      </w:r>
      <w:r>
        <w:rPr>
          <w:rFonts w:ascii="Times New Roman" w:hAnsi="Times New Roman" w:cs="Times New Roman"/>
          <w:bCs/>
          <w:sz w:val="24"/>
          <w:szCs w:val="24"/>
        </w:rPr>
        <w:t xml:space="preserve"> </w:t>
      </w:r>
      <w:r w:rsidR="0081302E" w:rsidRPr="008D14C7">
        <w:rPr>
          <w:rFonts w:ascii="Times New Roman" w:hAnsi="Times New Roman" w:cs="Times New Roman"/>
          <w:bCs/>
          <w:sz w:val="24"/>
          <w:szCs w:val="24"/>
        </w:rPr>
        <w:t xml:space="preserve">услуги. </w:t>
      </w:r>
    </w:p>
    <w:p w:rsidR="0081302E" w:rsidRPr="008D14C7" w:rsidRDefault="0081302E" w:rsidP="00C92F90">
      <w:pPr>
        <w:spacing w:before="120" w:after="60" w:line="280" w:lineRule="exact"/>
        <w:rPr>
          <w:rFonts w:ascii="Times New Roman" w:hAnsi="Times New Roman" w:cs="Times New Roman"/>
          <w:bCs/>
          <w:sz w:val="24"/>
          <w:szCs w:val="24"/>
          <w:lang w:val="bg-BG"/>
        </w:rPr>
      </w:pPr>
      <w:r w:rsidRPr="008D14C7">
        <w:rPr>
          <w:rFonts w:ascii="Times New Roman" w:hAnsi="Times New Roman" w:cs="Times New Roman"/>
          <w:sz w:val="24"/>
          <w:szCs w:val="24"/>
        </w:rPr>
        <w:t>Основен</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приоритет</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за</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Дружеството е разработването</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на</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рентабилни и перспективни</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инвестиционни</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проекти и повишаване</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ефективността</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на</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съществуващите</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инвестиционни</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стратегии</w:t>
      </w:r>
      <w:r w:rsidRPr="008D14C7">
        <w:rPr>
          <w:rFonts w:ascii="Times New Roman" w:hAnsi="Times New Roman" w:cs="Times New Roman"/>
          <w:bCs/>
          <w:sz w:val="24"/>
          <w:szCs w:val="24"/>
        </w:rPr>
        <w:t>.</w:t>
      </w:r>
    </w:p>
    <w:p w:rsidR="0081302E" w:rsidRPr="008D14C7" w:rsidRDefault="00362C35" w:rsidP="0081302E">
      <w:pPr>
        <w:jc w:val="both"/>
        <w:rPr>
          <w:rFonts w:ascii="Times New Roman" w:hAnsi="Times New Roman" w:cs="Times New Roman"/>
          <w:sz w:val="24"/>
          <w:szCs w:val="24"/>
          <w:lang w:val="bg-BG"/>
        </w:rPr>
      </w:pPr>
      <w:r>
        <w:rPr>
          <w:rFonts w:ascii="Times New Roman" w:hAnsi="Times New Roman" w:cs="Times New Roman"/>
          <w:sz w:val="24"/>
          <w:szCs w:val="24"/>
          <w:lang w:val="bg-BG"/>
        </w:rPr>
        <w:tab/>
        <w:t>През периода 01.01.20</w:t>
      </w:r>
      <w:r>
        <w:rPr>
          <w:rFonts w:ascii="Times New Roman" w:hAnsi="Times New Roman" w:cs="Times New Roman"/>
          <w:sz w:val="24"/>
          <w:szCs w:val="24"/>
        </w:rPr>
        <w:t xml:space="preserve">19 </w:t>
      </w:r>
      <w:r w:rsidR="0081302E" w:rsidRPr="008D14C7">
        <w:rPr>
          <w:rFonts w:ascii="Times New Roman" w:hAnsi="Times New Roman" w:cs="Times New Roman"/>
          <w:sz w:val="24"/>
          <w:szCs w:val="24"/>
          <w:lang w:val="bg-BG"/>
        </w:rPr>
        <w:t xml:space="preserve">г. – </w:t>
      </w:r>
      <w:r>
        <w:rPr>
          <w:rFonts w:ascii="Times New Roman" w:hAnsi="Times New Roman" w:cs="Times New Roman"/>
          <w:sz w:val="24"/>
          <w:szCs w:val="24"/>
        </w:rPr>
        <w:t>3</w:t>
      </w:r>
      <w:r w:rsidR="003B4161">
        <w:rPr>
          <w:rFonts w:ascii="Times New Roman" w:hAnsi="Times New Roman" w:cs="Times New Roman"/>
          <w:sz w:val="24"/>
          <w:szCs w:val="24"/>
        </w:rPr>
        <w:t>0</w:t>
      </w:r>
      <w:r w:rsidR="0081302E" w:rsidRPr="008D14C7">
        <w:rPr>
          <w:rFonts w:ascii="Times New Roman" w:hAnsi="Times New Roman" w:cs="Times New Roman"/>
          <w:sz w:val="24"/>
          <w:szCs w:val="24"/>
          <w:lang w:val="bg-BG"/>
        </w:rPr>
        <w:t>.</w:t>
      </w:r>
      <w:r>
        <w:rPr>
          <w:rFonts w:ascii="Times New Roman" w:hAnsi="Times New Roman" w:cs="Times New Roman"/>
          <w:sz w:val="24"/>
          <w:szCs w:val="24"/>
        </w:rPr>
        <w:t>0</w:t>
      </w:r>
      <w:r w:rsidR="003B4161">
        <w:rPr>
          <w:rFonts w:ascii="Times New Roman" w:hAnsi="Times New Roman" w:cs="Times New Roman"/>
          <w:sz w:val="24"/>
          <w:szCs w:val="24"/>
        </w:rPr>
        <w:t>9</w:t>
      </w:r>
      <w:r>
        <w:rPr>
          <w:rFonts w:ascii="Times New Roman" w:hAnsi="Times New Roman" w:cs="Times New Roman"/>
          <w:sz w:val="24"/>
          <w:szCs w:val="24"/>
          <w:lang w:val="bg-BG"/>
        </w:rPr>
        <w:t>.20</w:t>
      </w:r>
      <w:r>
        <w:rPr>
          <w:rFonts w:ascii="Times New Roman" w:hAnsi="Times New Roman" w:cs="Times New Roman"/>
          <w:sz w:val="24"/>
          <w:szCs w:val="24"/>
        </w:rPr>
        <w:t xml:space="preserve">19 </w:t>
      </w:r>
      <w:r w:rsidR="0081302E" w:rsidRPr="008D14C7">
        <w:rPr>
          <w:rFonts w:ascii="Times New Roman" w:hAnsi="Times New Roman" w:cs="Times New Roman"/>
          <w:sz w:val="24"/>
          <w:szCs w:val="24"/>
          <w:lang w:val="bg-BG"/>
        </w:rPr>
        <w:t>г. няма промени  в търговската регистрация на дружеството.</w:t>
      </w:r>
    </w:p>
    <w:p w:rsidR="0081302E" w:rsidRPr="008D14C7" w:rsidRDefault="0081302E" w:rsidP="0081302E">
      <w:pPr>
        <w:jc w:val="both"/>
        <w:rPr>
          <w:rFonts w:ascii="Times New Roman" w:hAnsi="Times New Roman" w:cs="Times New Roman"/>
          <w:sz w:val="24"/>
          <w:szCs w:val="24"/>
        </w:rPr>
      </w:pPr>
      <w:r w:rsidRPr="008D14C7">
        <w:rPr>
          <w:rFonts w:ascii="Times New Roman" w:hAnsi="Times New Roman" w:cs="Times New Roman"/>
          <w:sz w:val="24"/>
          <w:szCs w:val="24"/>
        </w:rPr>
        <w:t>На 13.11.2013 г. е проведено</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извънредно</w:t>
      </w:r>
      <w:r w:rsidR="00C92F90">
        <w:rPr>
          <w:rFonts w:ascii="Times New Roman" w:hAnsi="Times New Roman" w:cs="Times New Roman"/>
          <w:sz w:val="24"/>
          <w:szCs w:val="24"/>
        </w:rPr>
        <w:t xml:space="preserve"> </w:t>
      </w:r>
      <w:r w:rsidRPr="008D14C7">
        <w:rPr>
          <w:rFonts w:ascii="Times New Roman" w:hAnsi="Times New Roman" w:cs="Times New Roman"/>
          <w:sz w:val="24"/>
          <w:szCs w:val="24"/>
          <w:lang w:val="bg-BG"/>
        </w:rPr>
        <w:t>общо събрание на акционерите</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на</w:t>
      </w:r>
      <w:r w:rsidRPr="008D14C7">
        <w:rPr>
          <w:rFonts w:ascii="Times New Roman" w:hAnsi="Times New Roman" w:cs="Times New Roman"/>
          <w:sz w:val="24"/>
          <w:szCs w:val="24"/>
          <w:lang w:val="bg-BG"/>
        </w:rPr>
        <w:t>„</w:t>
      </w:r>
      <w:r w:rsidRPr="008D14C7">
        <w:rPr>
          <w:rFonts w:ascii="Times New Roman" w:hAnsi="Times New Roman" w:cs="Times New Roman"/>
          <w:sz w:val="24"/>
          <w:szCs w:val="24"/>
        </w:rPr>
        <w:t>ЕУРОТЕРРА БЪЛГАРИЯ</w:t>
      </w:r>
      <w:r w:rsidRPr="008D14C7">
        <w:rPr>
          <w:rFonts w:ascii="Times New Roman" w:hAnsi="Times New Roman" w:cs="Times New Roman"/>
          <w:sz w:val="24"/>
          <w:szCs w:val="24"/>
          <w:lang w:val="bg-BG"/>
        </w:rPr>
        <w:t>“</w:t>
      </w:r>
      <w:r w:rsidRPr="008D14C7">
        <w:rPr>
          <w:rFonts w:ascii="Times New Roman" w:hAnsi="Times New Roman" w:cs="Times New Roman"/>
          <w:sz w:val="24"/>
          <w:szCs w:val="24"/>
        </w:rPr>
        <w:t xml:space="preserve"> АД, на</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което е прието</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решение</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за</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намаляване</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на</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капитала</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 xml:space="preserve">от 18 200 000 лв. на 4 550 000 лв. </w:t>
      </w:r>
      <w:r w:rsidR="00C92F90" w:rsidRPr="008D14C7">
        <w:rPr>
          <w:rFonts w:ascii="Times New Roman" w:hAnsi="Times New Roman" w:cs="Times New Roman"/>
          <w:sz w:val="24"/>
          <w:szCs w:val="24"/>
        </w:rPr>
        <w:t>П</w:t>
      </w:r>
      <w:r w:rsidRPr="008D14C7">
        <w:rPr>
          <w:rFonts w:ascii="Times New Roman" w:hAnsi="Times New Roman" w:cs="Times New Roman"/>
          <w:sz w:val="24"/>
          <w:szCs w:val="24"/>
        </w:rPr>
        <w:t>о</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реда</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на</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чл.200, т.1 от ТЗ чрез</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намаляване</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на</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номиналната</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стойност</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на</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акциитеот 4.00 лв.на 1.00 лв.</w:t>
      </w:r>
    </w:p>
    <w:p w:rsidR="0081302E" w:rsidRPr="008D14C7" w:rsidRDefault="0081302E" w:rsidP="0081302E">
      <w:pPr>
        <w:jc w:val="both"/>
        <w:rPr>
          <w:rFonts w:ascii="Times New Roman" w:hAnsi="Times New Roman" w:cs="Times New Roman"/>
          <w:color w:val="000000"/>
          <w:sz w:val="24"/>
          <w:szCs w:val="24"/>
          <w:lang w:val="bg-BG"/>
        </w:rPr>
      </w:pPr>
      <w:r w:rsidRPr="008D14C7">
        <w:rPr>
          <w:rFonts w:ascii="Times New Roman" w:hAnsi="Times New Roman" w:cs="Times New Roman"/>
          <w:sz w:val="24"/>
          <w:szCs w:val="24"/>
        </w:rPr>
        <w:t>На 1</w:t>
      </w:r>
      <w:r w:rsidRPr="008D14C7">
        <w:rPr>
          <w:rFonts w:ascii="Times New Roman" w:hAnsi="Times New Roman" w:cs="Times New Roman"/>
          <w:sz w:val="24"/>
          <w:szCs w:val="24"/>
          <w:lang w:val="bg-BG"/>
        </w:rPr>
        <w:t>6</w:t>
      </w:r>
      <w:r w:rsidRPr="008D14C7">
        <w:rPr>
          <w:rFonts w:ascii="Times New Roman" w:hAnsi="Times New Roman" w:cs="Times New Roman"/>
          <w:sz w:val="24"/>
          <w:szCs w:val="24"/>
        </w:rPr>
        <w:t>.</w:t>
      </w:r>
      <w:r w:rsidRPr="008D14C7">
        <w:rPr>
          <w:rFonts w:ascii="Times New Roman" w:hAnsi="Times New Roman" w:cs="Times New Roman"/>
          <w:sz w:val="24"/>
          <w:szCs w:val="24"/>
          <w:lang w:val="bg-BG"/>
        </w:rPr>
        <w:t>04</w:t>
      </w:r>
      <w:r w:rsidRPr="008D14C7">
        <w:rPr>
          <w:rFonts w:ascii="Times New Roman" w:hAnsi="Times New Roman" w:cs="Times New Roman"/>
          <w:sz w:val="24"/>
          <w:szCs w:val="24"/>
        </w:rPr>
        <w:t>.201</w:t>
      </w:r>
      <w:r w:rsidRPr="008D14C7">
        <w:rPr>
          <w:rFonts w:ascii="Times New Roman" w:hAnsi="Times New Roman" w:cs="Times New Roman"/>
          <w:sz w:val="24"/>
          <w:szCs w:val="24"/>
          <w:lang w:val="bg-BG"/>
        </w:rPr>
        <w:t>4</w:t>
      </w:r>
      <w:r w:rsidRPr="008D14C7">
        <w:rPr>
          <w:rFonts w:ascii="Times New Roman" w:hAnsi="Times New Roman" w:cs="Times New Roman"/>
          <w:sz w:val="24"/>
          <w:szCs w:val="24"/>
        </w:rPr>
        <w:t xml:space="preserve"> г. в Търговския</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регистър</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към</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Агенция</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по</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вписванията</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по</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партидата</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 xml:space="preserve">на „ЕУРОТЕРРА БЪЛГАРИЯ” АД е </w:t>
      </w:r>
      <w:r w:rsidRPr="008D14C7">
        <w:rPr>
          <w:rFonts w:ascii="Times New Roman" w:hAnsi="Times New Roman" w:cs="Times New Roman"/>
          <w:sz w:val="24"/>
          <w:szCs w:val="24"/>
          <w:lang w:val="bg-BG"/>
        </w:rPr>
        <w:t>вписано</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решението</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 xml:space="preserve">на ОСА от 13.11.2013 г. </w:t>
      </w:r>
      <w:r w:rsidR="00C92F90" w:rsidRPr="008D14C7">
        <w:rPr>
          <w:rFonts w:ascii="Times New Roman" w:hAnsi="Times New Roman" w:cs="Times New Roman"/>
          <w:sz w:val="24"/>
          <w:szCs w:val="24"/>
        </w:rPr>
        <w:t>З</w:t>
      </w:r>
      <w:r w:rsidRPr="008D14C7">
        <w:rPr>
          <w:rFonts w:ascii="Times New Roman" w:hAnsi="Times New Roman" w:cs="Times New Roman"/>
          <w:sz w:val="24"/>
          <w:szCs w:val="24"/>
        </w:rPr>
        <w:t>а</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намаляване</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на</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капитала</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на</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дружеството</w:t>
      </w:r>
      <w:r w:rsidR="00C92F90">
        <w:rPr>
          <w:rFonts w:ascii="Times New Roman" w:hAnsi="Times New Roman" w:cs="Times New Roman"/>
          <w:sz w:val="24"/>
          <w:szCs w:val="24"/>
        </w:rPr>
        <w:t xml:space="preserve"> </w:t>
      </w:r>
      <w:r w:rsidRPr="008D14C7">
        <w:rPr>
          <w:rFonts w:ascii="Times New Roman" w:hAnsi="Times New Roman" w:cs="Times New Roman"/>
          <w:sz w:val="24"/>
          <w:szCs w:val="24"/>
        </w:rPr>
        <w:t xml:space="preserve">под № </w:t>
      </w:r>
      <w:r w:rsidRPr="008D14C7">
        <w:rPr>
          <w:rFonts w:ascii="Times New Roman" w:hAnsi="Times New Roman" w:cs="Times New Roman"/>
          <w:color w:val="000000"/>
          <w:sz w:val="24"/>
          <w:szCs w:val="24"/>
        </w:rPr>
        <w:t>201</w:t>
      </w:r>
      <w:r w:rsidRPr="008D14C7">
        <w:rPr>
          <w:rFonts w:ascii="Times New Roman" w:hAnsi="Times New Roman" w:cs="Times New Roman"/>
          <w:color w:val="000000"/>
          <w:sz w:val="24"/>
          <w:szCs w:val="24"/>
          <w:lang w:val="bg-BG"/>
        </w:rPr>
        <w:t>40416163631</w:t>
      </w:r>
      <w:r w:rsidRPr="008D14C7">
        <w:rPr>
          <w:rFonts w:ascii="Times New Roman" w:hAnsi="Times New Roman" w:cs="Times New Roman"/>
          <w:color w:val="000000"/>
          <w:sz w:val="24"/>
          <w:szCs w:val="24"/>
        </w:rPr>
        <w:t xml:space="preserve">. </w:t>
      </w:r>
    </w:p>
    <w:p w:rsidR="004C45A5" w:rsidRPr="008D14C7" w:rsidRDefault="004C45A5" w:rsidP="008D14C7">
      <w:pPr>
        <w:jc w:val="both"/>
        <w:rPr>
          <w:rFonts w:ascii="Times New Roman" w:hAnsi="Times New Roman" w:cs="Times New Roman"/>
          <w:sz w:val="24"/>
          <w:szCs w:val="24"/>
          <w:lang w:val="ru-RU"/>
        </w:rPr>
      </w:pPr>
      <w:r w:rsidRPr="008D14C7">
        <w:rPr>
          <w:rFonts w:ascii="Times New Roman" w:hAnsi="Times New Roman" w:cs="Times New Roman"/>
          <w:sz w:val="24"/>
          <w:szCs w:val="24"/>
          <w:lang w:val="bg-BG"/>
        </w:rPr>
        <w:lastRenderedPageBreak/>
        <w:t>„</w:t>
      </w:r>
      <w:r w:rsidRPr="008D14C7">
        <w:rPr>
          <w:rFonts w:ascii="Times New Roman" w:hAnsi="Times New Roman" w:cs="Times New Roman"/>
          <w:sz w:val="24"/>
          <w:szCs w:val="24"/>
        </w:rPr>
        <w:t>ЕУРОТЕРРА БЪЛГАРИЯ</w:t>
      </w:r>
      <w:r w:rsidRPr="008D14C7">
        <w:rPr>
          <w:rFonts w:ascii="Times New Roman" w:hAnsi="Times New Roman" w:cs="Times New Roman"/>
          <w:sz w:val="24"/>
          <w:szCs w:val="24"/>
          <w:lang w:val="bg-BG"/>
        </w:rPr>
        <w:t>“</w:t>
      </w:r>
      <w:r w:rsidRPr="008D14C7">
        <w:rPr>
          <w:rFonts w:ascii="Times New Roman" w:hAnsi="Times New Roman" w:cs="Times New Roman"/>
          <w:sz w:val="24"/>
          <w:szCs w:val="24"/>
        </w:rPr>
        <w:t xml:space="preserve"> АД</w:t>
      </w:r>
      <w:r w:rsidRPr="008D14C7">
        <w:rPr>
          <w:rFonts w:ascii="Times New Roman" w:hAnsi="Times New Roman" w:cs="Times New Roman"/>
          <w:sz w:val="24"/>
          <w:szCs w:val="24"/>
          <w:lang w:val="bg-BG"/>
        </w:rPr>
        <w:t xml:space="preserve"> е публично дружество съгласно Закона за публично предлагане на ценни книжа и неговите акции се търгуват свободно на “Българска фондова борса – София” АД. Aкциите на дружеството са поименни, безналични и свободно прехвърляеми ценни книжа, които се предлагат публично. Прехвърлянето на поименните безналични акции, издадени от дружеството, имат действие от момента на вписване на сделката в регистъра на Централния депозитар, който издава документ, удостоверяващ правата върху тези акции.</w:t>
      </w:r>
    </w:p>
    <w:p w:rsidR="0081302E" w:rsidRPr="00033231" w:rsidRDefault="0081302E" w:rsidP="0081302E">
      <w:pPr>
        <w:pStyle w:val="ListParagraph"/>
        <w:numPr>
          <w:ilvl w:val="1"/>
          <w:numId w:val="1"/>
        </w:numPr>
        <w:ind w:left="0" w:firstLine="0"/>
        <w:jc w:val="both"/>
        <w:rPr>
          <w:rFonts w:ascii="Times New Roman" w:hAnsi="Times New Roman" w:cs="Times New Roman"/>
          <w:b/>
          <w:sz w:val="24"/>
          <w:szCs w:val="24"/>
          <w:lang w:val="bg-BG"/>
        </w:rPr>
      </w:pPr>
      <w:r w:rsidRPr="00033231">
        <w:rPr>
          <w:rFonts w:ascii="Times New Roman" w:hAnsi="Times New Roman" w:cs="Times New Roman"/>
          <w:b/>
          <w:sz w:val="24"/>
          <w:szCs w:val="24"/>
          <w:lang w:val="bg-BG"/>
        </w:rPr>
        <w:t>Собственост и управление</w:t>
      </w:r>
    </w:p>
    <w:p w:rsidR="0081302E" w:rsidRPr="008D14C7" w:rsidRDefault="00856748" w:rsidP="0081302E">
      <w:pPr>
        <w:spacing w:line="360" w:lineRule="auto"/>
        <w:rPr>
          <w:rFonts w:ascii="Times New Roman" w:hAnsi="Times New Roman" w:cs="Times New Roman"/>
          <w:sz w:val="24"/>
          <w:szCs w:val="24"/>
          <w:u w:val="single"/>
          <w:lang w:val="bg-BG"/>
        </w:rPr>
      </w:pPr>
      <w:r w:rsidRPr="008D14C7">
        <w:rPr>
          <w:rFonts w:ascii="Times New Roman" w:hAnsi="Times New Roman" w:cs="Times New Roman"/>
          <w:sz w:val="24"/>
          <w:szCs w:val="24"/>
          <w:u w:val="single"/>
          <w:lang w:val="bg-BG"/>
        </w:rPr>
        <w:t xml:space="preserve">Акционери на дружеството към </w:t>
      </w:r>
      <w:r w:rsidR="00DE25F2">
        <w:rPr>
          <w:rFonts w:ascii="Times New Roman" w:hAnsi="Times New Roman" w:cs="Times New Roman"/>
          <w:sz w:val="24"/>
          <w:szCs w:val="24"/>
          <w:u w:val="single"/>
        </w:rPr>
        <w:t>3</w:t>
      </w:r>
      <w:r w:rsidR="003B4161">
        <w:rPr>
          <w:rFonts w:ascii="Times New Roman" w:hAnsi="Times New Roman" w:cs="Times New Roman"/>
          <w:sz w:val="24"/>
          <w:szCs w:val="24"/>
          <w:u w:val="single"/>
        </w:rPr>
        <w:t>0</w:t>
      </w:r>
      <w:r w:rsidR="0081302E" w:rsidRPr="008D14C7">
        <w:rPr>
          <w:rFonts w:ascii="Times New Roman" w:hAnsi="Times New Roman" w:cs="Times New Roman"/>
          <w:sz w:val="24"/>
          <w:szCs w:val="24"/>
          <w:u w:val="single"/>
          <w:lang w:val="bg-BG"/>
        </w:rPr>
        <w:t>.</w:t>
      </w:r>
      <w:r w:rsidR="00362C35">
        <w:rPr>
          <w:rFonts w:ascii="Times New Roman" w:hAnsi="Times New Roman" w:cs="Times New Roman"/>
          <w:sz w:val="24"/>
          <w:szCs w:val="24"/>
          <w:u w:val="single"/>
        </w:rPr>
        <w:t>0</w:t>
      </w:r>
      <w:r w:rsidR="003B4161">
        <w:rPr>
          <w:rFonts w:ascii="Times New Roman" w:hAnsi="Times New Roman" w:cs="Times New Roman"/>
          <w:sz w:val="24"/>
          <w:szCs w:val="24"/>
          <w:u w:val="single"/>
        </w:rPr>
        <w:t>9</w:t>
      </w:r>
      <w:r w:rsidR="00362C35">
        <w:rPr>
          <w:rFonts w:ascii="Times New Roman" w:hAnsi="Times New Roman" w:cs="Times New Roman"/>
          <w:sz w:val="24"/>
          <w:szCs w:val="24"/>
          <w:u w:val="single"/>
          <w:lang w:val="bg-BG"/>
        </w:rPr>
        <w:t>.20</w:t>
      </w:r>
      <w:r w:rsidR="00362C35">
        <w:rPr>
          <w:rFonts w:ascii="Times New Roman" w:hAnsi="Times New Roman" w:cs="Times New Roman"/>
          <w:sz w:val="24"/>
          <w:szCs w:val="24"/>
          <w:u w:val="single"/>
        </w:rPr>
        <w:t>19</w:t>
      </w:r>
      <w:r w:rsidR="0081302E" w:rsidRPr="008D14C7">
        <w:rPr>
          <w:rFonts w:ascii="Times New Roman" w:hAnsi="Times New Roman" w:cs="Times New Roman"/>
          <w:sz w:val="24"/>
          <w:szCs w:val="24"/>
          <w:u w:val="single"/>
          <w:lang w:val="bg-BG"/>
        </w:rPr>
        <w:t xml:space="preserve"> г.</w:t>
      </w:r>
    </w:p>
    <w:tbl>
      <w:tblPr>
        <w:tblW w:w="6857" w:type="dxa"/>
        <w:tblInd w:w="817" w:type="dxa"/>
        <w:tblLook w:val="04A0"/>
      </w:tblPr>
      <w:tblGrid>
        <w:gridCol w:w="3635"/>
        <w:gridCol w:w="1900"/>
        <w:gridCol w:w="2423"/>
      </w:tblGrid>
      <w:tr w:rsidR="0081302E" w:rsidRPr="008D14C7" w:rsidTr="00084EF7">
        <w:trPr>
          <w:trHeight w:val="720"/>
        </w:trPr>
        <w:tc>
          <w:tcPr>
            <w:tcW w:w="3417"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rPr>
                <w:rFonts w:ascii="Times New Roman" w:eastAsia="Times New Roman" w:hAnsi="Times New Roman" w:cs="Times New Roman"/>
                <w:b/>
                <w:bCs/>
                <w:color w:val="000000"/>
                <w:sz w:val="24"/>
                <w:szCs w:val="24"/>
              </w:rPr>
            </w:pPr>
            <w:r w:rsidRPr="008D14C7">
              <w:rPr>
                <w:rFonts w:ascii="Times New Roman" w:eastAsia="Times New Roman" w:hAnsi="Times New Roman" w:cs="Times New Roman"/>
                <w:b/>
                <w:bCs/>
                <w:color w:val="000000"/>
                <w:sz w:val="24"/>
                <w:szCs w:val="24"/>
              </w:rPr>
              <w:t>Акционери</w:t>
            </w:r>
          </w:p>
        </w:tc>
        <w:tc>
          <w:tcPr>
            <w:tcW w:w="1900" w:type="dxa"/>
            <w:tcBorders>
              <w:top w:val="nil"/>
              <w:left w:val="nil"/>
              <w:bottom w:val="nil"/>
              <w:right w:val="nil"/>
            </w:tcBorders>
            <w:shd w:val="clear" w:color="auto" w:fill="auto"/>
            <w:vAlign w:val="bottom"/>
            <w:hideMark/>
          </w:tcPr>
          <w:p w:rsidR="0081302E" w:rsidRPr="008D14C7" w:rsidRDefault="0081302E" w:rsidP="00084EF7">
            <w:pPr>
              <w:spacing w:after="0" w:line="240" w:lineRule="auto"/>
              <w:jc w:val="center"/>
              <w:rPr>
                <w:rFonts w:ascii="Times New Roman" w:eastAsia="Times New Roman" w:hAnsi="Times New Roman" w:cs="Times New Roman"/>
                <w:b/>
                <w:bCs/>
                <w:color w:val="000000"/>
                <w:sz w:val="24"/>
                <w:szCs w:val="24"/>
              </w:rPr>
            </w:pPr>
            <w:r w:rsidRPr="008D14C7">
              <w:rPr>
                <w:rFonts w:ascii="Times New Roman" w:eastAsia="Times New Roman" w:hAnsi="Times New Roman" w:cs="Times New Roman"/>
                <w:b/>
                <w:bCs/>
                <w:color w:val="000000"/>
                <w:sz w:val="24"/>
                <w:szCs w:val="24"/>
              </w:rPr>
              <w:t>Бройакции</w:t>
            </w:r>
          </w:p>
        </w:tc>
        <w:tc>
          <w:tcPr>
            <w:tcW w:w="1540" w:type="dxa"/>
            <w:tcBorders>
              <w:top w:val="nil"/>
              <w:left w:val="nil"/>
              <w:bottom w:val="nil"/>
              <w:right w:val="nil"/>
            </w:tcBorders>
            <w:shd w:val="clear" w:color="auto" w:fill="auto"/>
            <w:vAlign w:val="bottom"/>
            <w:hideMark/>
          </w:tcPr>
          <w:p w:rsidR="0081302E" w:rsidRPr="008D14C7" w:rsidRDefault="0081302E" w:rsidP="00084EF7">
            <w:pPr>
              <w:spacing w:after="0" w:line="240" w:lineRule="auto"/>
              <w:jc w:val="center"/>
              <w:rPr>
                <w:rFonts w:ascii="Times New Roman" w:eastAsia="Times New Roman" w:hAnsi="Times New Roman" w:cs="Times New Roman"/>
                <w:b/>
                <w:bCs/>
                <w:color w:val="000000"/>
                <w:sz w:val="24"/>
                <w:szCs w:val="24"/>
              </w:rPr>
            </w:pPr>
            <w:r w:rsidRPr="008D14C7">
              <w:rPr>
                <w:rFonts w:ascii="Times New Roman" w:eastAsia="Times New Roman" w:hAnsi="Times New Roman" w:cs="Times New Roman"/>
                <w:b/>
                <w:bCs/>
                <w:color w:val="000000"/>
                <w:sz w:val="24"/>
                <w:szCs w:val="24"/>
              </w:rPr>
              <w:t>Процентоткапитала</w:t>
            </w:r>
          </w:p>
        </w:tc>
      </w:tr>
      <w:tr w:rsidR="0081302E" w:rsidRPr="008D14C7" w:rsidTr="00084EF7">
        <w:trPr>
          <w:trHeight w:val="300"/>
        </w:trPr>
        <w:tc>
          <w:tcPr>
            <w:tcW w:w="3417" w:type="dxa"/>
            <w:tcBorders>
              <w:top w:val="nil"/>
              <w:left w:val="nil"/>
              <w:bottom w:val="nil"/>
              <w:right w:val="nil"/>
            </w:tcBorders>
            <w:shd w:val="clear" w:color="auto" w:fill="auto"/>
            <w:vAlign w:val="bottom"/>
            <w:hideMark/>
          </w:tcPr>
          <w:p w:rsidR="0081302E" w:rsidRPr="008D14C7" w:rsidRDefault="0081302E" w:rsidP="00084EF7">
            <w:pPr>
              <w:spacing w:after="0" w:line="240" w:lineRule="auto"/>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ПантазисМихаилТерианос</w:t>
            </w:r>
          </w:p>
        </w:tc>
        <w:tc>
          <w:tcPr>
            <w:tcW w:w="1900"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445482</w:t>
            </w:r>
          </w:p>
        </w:tc>
        <w:tc>
          <w:tcPr>
            <w:tcW w:w="1540"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9.79 %</w:t>
            </w:r>
          </w:p>
        </w:tc>
      </w:tr>
      <w:tr w:rsidR="0081302E" w:rsidRPr="008D14C7" w:rsidTr="00084EF7">
        <w:trPr>
          <w:trHeight w:val="300"/>
        </w:trPr>
        <w:tc>
          <w:tcPr>
            <w:tcW w:w="3417" w:type="dxa"/>
            <w:tcBorders>
              <w:top w:val="nil"/>
              <w:left w:val="nil"/>
              <w:bottom w:val="nil"/>
              <w:right w:val="nil"/>
            </w:tcBorders>
            <w:shd w:val="clear" w:color="auto" w:fill="auto"/>
            <w:vAlign w:val="bottom"/>
            <w:hideMark/>
          </w:tcPr>
          <w:p w:rsidR="0081302E" w:rsidRPr="008D14C7" w:rsidRDefault="0081302E" w:rsidP="00084EF7">
            <w:pPr>
              <w:spacing w:after="0" w:line="240" w:lineRule="auto"/>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МихаилПантазисТерианос</w:t>
            </w:r>
          </w:p>
        </w:tc>
        <w:tc>
          <w:tcPr>
            <w:tcW w:w="1900"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1628997</w:t>
            </w:r>
          </w:p>
        </w:tc>
        <w:tc>
          <w:tcPr>
            <w:tcW w:w="1540"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35.80%</w:t>
            </w:r>
          </w:p>
        </w:tc>
      </w:tr>
      <w:tr w:rsidR="0081302E" w:rsidRPr="008D14C7" w:rsidTr="00084EF7">
        <w:trPr>
          <w:trHeight w:val="300"/>
        </w:trPr>
        <w:tc>
          <w:tcPr>
            <w:tcW w:w="3417" w:type="dxa"/>
            <w:tcBorders>
              <w:top w:val="nil"/>
              <w:left w:val="nil"/>
              <w:bottom w:val="nil"/>
              <w:right w:val="nil"/>
            </w:tcBorders>
            <w:shd w:val="clear" w:color="auto" w:fill="auto"/>
            <w:vAlign w:val="bottom"/>
            <w:hideMark/>
          </w:tcPr>
          <w:p w:rsidR="0081302E" w:rsidRPr="008D14C7" w:rsidRDefault="0081302E" w:rsidP="00084EF7">
            <w:pPr>
              <w:spacing w:after="0" w:line="240" w:lineRule="auto"/>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ОлгаХристосТериану</w:t>
            </w:r>
          </w:p>
        </w:tc>
        <w:tc>
          <w:tcPr>
            <w:tcW w:w="1900"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2274985</w:t>
            </w:r>
          </w:p>
        </w:tc>
        <w:tc>
          <w:tcPr>
            <w:tcW w:w="1540"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50%</w:t>
            </w:r>
          </w:p>
        </w:tc>
      </w:tr>
      <w:tr w:rsidR="0081302E" w:rsidRPr="008D14C7" w:rsidTr="00084EF7">
        <w:trPr>
          <w:trHeight w:val="585"/>
        </w:trPr>
        <w:tc>
          <w:tcPr>
            <w:tcW w:w="3417" w:type="dxa"/>
            <w:tcBorders>
              <w:top w:val="nil"/>
              <w:left w:val="nil"/>
              <w:bottom w:val="nil"/>
              <w:right w:val="nil"/>
            </w:tcBorders>
            <w:shd w:val="clear" w:color="auto" w:fill="auto"/>
            <w:vAlign w:val="bottom"/>
            <w:hideMark/>
          </w:tcPr>
          <w:p w:rsidR="0081302E" w:rsidRPr="008D14C7" w:rsidRDefault="0081302E" w:rsidP="00084EF7">
            <w:pPr>
              <w:spacing w:after="0" w:line="240" w:lineRule="auto"/>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ЕуротерраБългария АД - обратноизкупенисобствениакции</w:t>
            </w:r>
          </w:p>
        </w:tc>
        <w:tc>
          <w:tcPr>
            <w:tcW w:w="1900"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129845</w:t>
            </w:r>
          </w:p>
        </w:tc>
        <w:tc>
          <w:tcPr>
            <w:tcW w:w="1540"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2.85%</w:t>
            </w:r>
          </w:p>
        </w:tc>
      </w:tr>
      <w:tr w:rsidR="0081302E" w:rsidRPr="008D14C7" w:rsidTr="00084EF7">
        <w:trPr>
          <w:trHeight w:val="300"/>
        </w:trPr>
        <w:tc>
          <w:tcPr>
            <w:tcW w:w="3417" w:type="dxa"/>
            <w:tcBorders>
              <w:top w:val="nil"/>
              <w:left w:val="nil"/>
              <w:bottom w:val="nil"/>
              <w:right w:val="nil"/>
            </w:tcBorders>
            <w:shd w:val="clear" w:color="auto" w:fill="auto"/>
            <w:vAlign w:val="bottom"/>
            <w:hideMark/>
          </w:tcPr>
          <w:p w:rsidR="0081302E" w:rsidRPr="008D14C7" w:rsidRDefault="0081302E" w:rsidP="00084EF7">
            <w:pPr>
              <w:spacing w:after="0" w:line="240" w:lineRule="auto"/>
              <w:rPr>
                <w:rFonts w:ascii="Times New Roman" w:eastAsia="Times New Roman" w:hAnsi="Times New Roman" w:cs="Times New Roman"/>
                <w:sz w:val="24"/>
                <w:szCs w:val="24"/>
              </w:rPr>
            </w:pPr>
            <w:r w:rsidRPr="008D14C7">
              <w:rPr>
                <w:rFonts w:ascii="Times New Roman" w:eastAsia="Times New Roman" w:hAnsi="Times New Roman" w:cs="Times New Roman"/>
                <w:sz w:val="24"/>
                <w:szCs w:val="24"/>
              </w:rPr>
              <w:t>Другифизически и юридическилица</w:t>
            </w:r>
          </w:p>
        </w:tc>
        <w:tc>
          <w:tcPr>
            <w:tcW w:w="1900" w:type="dxa"/>
            <w:tcBorders>
              <w:top w:val="nil"/>
              <w:left w:val="nil"/>
              <w:bottom w:val="single" w:sz="4" w:space="0" w:color="auto"/>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70691</w:t>
            </w:r>
          </w:p>
        </w:tc>
        <w:tc>
          <w:tcPr>
            <w:tcW w:w="1540" w:type="dxa"/>
            <w:tcBorders>
              <w:top w:val="nil"/>
              <w:left w:val="nil"/>
              <w:bottom w:val="single" w:sz="4" w:space="0" w:color="auto"/>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1.56%</w:t>
            </w:r>
          </w:p>
        </w:tc>
      </w:tr>
      <w:tr w:rsidR="0081302E" w:rsidRPr="008D14C7" w:rsidTr="00084EF7">
        <w:trPr>
          <w:trHeight w:val="300"/>
        </w:trPr>
        <w:tc>
          <w:tcPr>
            <w:tcW w:w="3417"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right"/>
              <w:rPr>
                <w:rFonts w:ascii="Times New Roman" w:eastAsia="Times New Roman" w:hAnsi="Times New Roman" w:cs="Times New Roman"/>
                <w:b/>
                <w:bCs/>
                <w:sz w:val="24"/>
                <w:szCs w:val="24"/>
              </w:rPr>
            </w:pPr>
            <w:r w:rsidRPr="008D14C7">
              <w:rPr>
                <w:rFonts w:ascii="Times New Roman" w:eastAsia="Times New Roman" w:hAnsi="Times New Roman" w:cs="Times New Roman"/>
                <w:b/>
                <w:bCs/>
                <w:sz w:val="24"/>
                <w:szCs w:val="24"/>
              </w:rPr>
              <w:t>Общо</w:t>
            </w:r>
          </w:p>
        </w:tc>
        <w:tc>
          <w:tcPr>
            <w:tcW w:w="1900"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b/>
                <w:bCs/>
                <w:color w:val="000000"/>
                <w:sz w:val="24"/>
                <w:szCs w:val="24"/>
              </w:rPr>
            </w:pPr>
            <w:r w:rsidRPr="008D14C7">
              <w:rPr>
                <w:rFonts w:ascii="Times New Roman" w:eastAsia="Times New Roman" w:hAnsi="Times New Roman" w:cs="Times New Roman"/>
                <w:b/>
                <w:bCs/>
                <w:color w:val="000000"/>
                <w:sz w:val="24"/>
                <w:szCs w:val="24"/>
              </w:rPr>
              <w:t>4550000</w:t>
            </w:r>
          </w:p>
        </w:tc>
        <w:tc>
          <w:tcPr>
            <w:tcW w:w="1540"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b/>
                <w:bCs/>
                <w:color w:val="000000"/>
                <w:sz w:val="24"/>
                <w:szCs w:val="24"/>
              </w:rPr>
            </w:pPr>
            <w:r w:rsidRPr="008D14C7">
              <w:rPr>
                <w:rFonts w:ascii="Times New Roman" w:eastAsia="Times New Roman" w:hAnsi="Times New Roman" w:cs="Times New Roman"/>
                <w:b/>
                <w:bCs/>
                <w:color w:val="000000"/>
                <w:sz w:val="24"/>
                <w:szCs w:val="24"/>
              </w:rPr>
              <w:t>100%</w:t>
            </w:r>
          </w:p>
        </w:tc>
      </w:tr>
    </w:tbl>
    <w:p w:rsidR="0081302E" w:rsidRPr="008D14C7" w:rsidRDefault="0081302E" w:rsidP="0081302E">
      <w:pPr>
        <w:spacing w:line="360" w:lineRule="auto"/>
        <w:rPr>
          <w:rFonts w:ascii="Times New Roman" w:hAnsi="Times New Roman" w:cs="Times New Roman"/>
          <w:sz w:val="24"/>
          <w:szCs w:val="24"/>
          <w:u w:val="single"/>
        </w:rPr>
      </w:pPr>
    </w:p>
    <w:p w:rsidR="003B4161" w:rsidRDefault="0081302E" w:rsidP="0081302E">
      <w:pPr>
        <w:jc w:val="both"/>
        <w:rPr>
          <w:rFonts w:ascii="Times New Roman" w:hAnsi="Times New Roman" w:cs="Times New Roman"/>
          <w:sz w:val="24"/>
          <w:szCs w:val="24"/>
        </w:rPr>
      </w:pPr>
      <w:r w:rsidRPr="008D14C7">
        <w:rPr>
          <w:rFonts w:ascii="Times New Roman" w:hAnsi="Times New Roman" w:cs="Times New Roman"/>
          <w:sz w:val="24"/>
          <w:szCs w:val="24"/>
        </w:rPr>
        <w:t>“ЕУРОТЕРРАБЪЛГАРИЯ” АД</w:t>
      </w:r>
    </w:p>
    <w:p w:rsidR="0081302E" w:rsidRPr="008D14C7" w:rsidRDefault="0081302E" w:rsidP="0081302E">
      <w:pPr>
        <w:jc w:val="both"/>
        <w:rPr>
          <w:rFonts w:ascii="Times New Roman" w:hAnsi="Times New Roman" w:cs="Times New Roman"/>
          <w:sz w:val="24"/>
          <w:szCs w:val="24"/>
          <w:lang w:val="bg-BG"/>
        </w:rPr>
      </w:pPr>
      <w:r w:rsidRPr="008D14C7">
        <w:rPr>
          <w:rFonts w:ascii="Times New Roman" w:hAnsi="Times New Roman" w:cs="Times New Roman"/>
          <w:sz w:val="24"/>
          <w:szCs w:val="24"/>
        </w:rPr>
        <w:t>има</w:t>
      </w:r>
      <w:r w:rsidR="003B4161">
        <w:rPr>
          <w:rFonts w:ascii="Times New Roman" w:hAnsi="Times New Roman" w:cs="Times New Roman"/>
          <w:sz w:val="24"/>
          <w:szCs w:val="24"/>
        </w:rPr>
        <w:t xml:space="preserve"> </w:t>
      </w:r>
      <w:r w:rsidRPr="008D14C7">
        <w:rPr>
          <w:rFonts w:ascii="Times New Roman" w:hAnsi="Times New Roman" w:cs="Times New Roman"/>
          <w:sz w:val="24"/>
          <w:szCs w:val="24"/>
        </w:rPr>
        <w:t>едностепенна</w:t>
      </w:r>
      <w:r w:rsidR="003B4161">
        <w:rPr>
          <w:rFonts w:ascii="Times New Roman" w:hAnsi="Times New Roman" w:cs="Times New Roman"/>
          <w:sz w:val="24"/>
          <w:szCs w:val="24"/>
        </w:rPr>
        <w:t xml:space="preserve"> </w:t>
      </w:r>
      <w:r w:rsidRPr="008D14C7">
        <w:rPr>
          <w:rFonts w:ascii="Times New Roman" w:hAnsi="Times New Roman" w:cs="Times New Roman"/>
          <w:sz w:val="24"/>
          <w:szCs w:val="24"/>
        </w:rPr>
        <w:t>системана</w:t>
      </w:r>
      <w:r w:rsidR="003B4161">
        <w:rPr>
          <w:rFonts w:ascii="Times New Roman" w:hAnsi="Times New Roman" w:cs="Times New Roman"/>
          <w:sz w:val="24"/>
          <w:szCs w:val="24"/>
        </w:rPr>
        <w:t xml:space="preserve"> </w:t>
      </w:r>
      <w:r w:rsidRPr="008D14C7">
        <w:rPr>
          <w:rFonts w:ascii="Times New Roman" w:hAnsi="Times New Roman" w:cs="Times New Roman"/>
          <w:sz w:val="24"/>
          <w:szCs w:val="24"/>
        </w:rPr>
        <w:t>управление.</w:t>
      </w:r>
      <w:r w:rsidR="003B4161">
        <w:rPr>
          <w:rFonts w:ascii="Times New Roman" w:hAnsi="Times New Roman" w:cs="Times New Roman"/>
          <w:sz w:val="24"/>
          <w:szCs w:val="24"/>
        </w:rPr>
        <w:t xml:space="preserve"> </w:t>
      </w:r>
      <w:r w:rsidRPr="008D14C7">
        <w:rPr>
          <w:rFonts w:ascii="Times New Roman" w:hAnsi="Times New Roman" w:cs="Times New Roman"/>
          <w:sz w:val="24"/>
          <w:szCs w:val="24"/>
        </w:rPr>
        <w:t>Дружеството</w:t>
      </w:r>
      <w:r w:rsidR="003B4161">
        <w:rPr>
          <w:rFonts w:ascii="Times New Roman" w:hAnsi="Times New Roman" w:cs="Times New Roman"/>
          <w:sz w:val="24"/>
          <w:szCs w:val="24"/>
        </w:rPr>
        <w:t xml:space="preserve"> </w:t>
      </w:r>
      <w:r w:rsidRPr="008D14C7">
        <w:rPr>
          <w:rFonts w:ascii="Times New Roman" w:hAnsi="Times New Roman" w:cs="Times New Roman"/>
          <w:sz w:val="24"/>
          <w:szCs w:val="24"/>
        </w:rPr>
        <w:t>се</w:t>
      </w:r>
      <w:r w:rsidR="003B4161">
        <w:rPr>
          <w:rFonts w:ascii="Times New Roman" w:hAnsi="Times New Roman" w:cs="Times New Roman"/>
          <w:sz w:val="24"/>
          <w:szCs w:val="24"/>
        </w:rPr>
        <w:t xml:space="preserve"> </w:t>
      </w:r>
      <w:r w:rsidRPr="008D14C7">
        <w:rPr>
          <w:rFonts w:ascii="Times New Roman" w:hAnsi="Times New Roman" w:cs="Times New Roman"/>
          <w:sz w:val="24"/>
          <w:szCs w:val="24"/>
        </w:rPr>
        <w:t>управлява и представлява</w:t>
      </w:r>
      <w:r w:rsidR="003B4161">
        <w:rPr>
          <w:rFonts w:ascii="Times New Roman" w:hAnsi="Times New Roman" w:cs="Times New Roman"/>
          <w:sz w:val="24"/>
          <w:szCs w:val="24"/>
        </w:rPr>
        <w:t xml:space="preserve"> </w:t>
      </w:r>
      <w:r w:rsidRPr="008D14C7">
        <w:rPr>
          <w:rFonts w:ascii="Times New Roman" w:hAnsi="Times New Roman" w:cs="Times New Roman"/>
          <w:sz w:val="24"/>
          <w:szCs w:val="24"/>
        </w:rPr>
        <w:t>от</w:t>
      </w:r>
      <w:r w:rsidR="003B4161">
        <w:rPr>
          <w:rFonts w:ascii="Times New Roman" w:hAnsi="Times New Roman" w:cs="Times New Roman"/>
          <w:sz w:val="24"/>
          <w:szCs w:val="24"/>
        </w:rPr>
        <w:t xml:space="preserve"> </w:t>
      </w:r>
      <w:r w:rsidRPr="008D14C7">
        <w:rPr>
          <w:rFonts w:ascii="Times New Roman" w:hAnsi="Times New Roman" w:cs="Times New Roman"/>
          <w:sz w:val="24"/>
          <w:szCs w:val="24"/>
        </w:rPr>
        <w:t>Съветнадиректорите.</w:t>
      </w:r>
    </w:p>
    <w:p w:rsidR="0081302E" w:rsidRPr="008D14C7" w:rsidRDefault="00DE25F2" w:rsidP="0081302E">
      <w:pPr>
        <w:jc w:val="both"/>
        <w:rPr>
          <w:rFonts w:ascii="Times New Roman" w:hAnsi="Times New Roman" w:cs="Times New Roman"/>
          <w:sz w:val="24"/>
          <w:szCs w:val="24"/>
        </w:rPr>
      </w:pPr>
      <w:r>
        <w:rPr>
          <w:rFonts w:ascii="Times New Roman" w:hAnsi="Times New Roman" w:cs="Times New Roman"/>
          <w:sz w:val="24"/>
          <w:szCs w:val="24"/>
        </w:rPr>
        <w:t>Към 3</w:t>
      </w:r>
      <w:r w:rsidR="003B4161">
        <w:rPr>
          <w:rFonts w:ascii="Times New Roman" w:hAnsi="Times New Roman" w:cs="Times New Roman"/>
          <w:sz w:val="24"/>
          <w:szCs w:val="24"/>
        </w:rPr>
        <w:t>0</w:t>
      </w:r>
      <w:r w:rsidR="0081302E" w:rsidRPr="008D14C7">
        <w:rPr>
          <w:rFonts w:ascii="Times New Roman" w:hAnsi="Times New Roman" w:cs="Times New Roman"/>
          <w:sz w:val="24"/>
          <w:szCs w:val="24"/>
        </w:rPr>
        <w:t>.</w:t>
      </w:r>
      <w:r w:rsidR="00362C35">
        <w:rPr>
          <w:rFonts w:ascii="Times New Roman" w:hAnsi="Times New Roman" w:cs="Times New Roman"/>
          <w:sz w:val="24"/>
          <w:szCs w:val="24"/>
          <w:lang w:val="bg-BG"/>
        </w:rPr>
        <w:t>0</w:t>
      </w:r>
      <w:r w:rsidR="003B4161">
        <w:rPr>
          <w:rFonts w:ascii="Times New Roman" w:hAnsi="Times New Roman" w:cs="Times New Roman"/>
          <w:sz w:val="24"/>
          <w:szCs w:val="24"/>
        </w:rPr>
        <w:t>9</w:t>
      </w:r>
      <w:r w:rsidR="0081302E" w:rsidRPr="008D14C7">
        <w:rPr>
          <w:rFonts w:ascii="Times New Roman" w:hAnsi="Times New Roman" w:cs="Times New Roman"/>
          <w:sz w:val="24"/>
          <w:szCs w:val="24"/>
        </w:rPr>
        <w:t>.20</w:t>
      </w:r>
      <w:r w:rsidR="00362C35">
        <w:rPr>
          <w:rFonts w:ascii="Times New Roman" w:hAnsi="Times New Roman" w:cs="Times New Roman"/>
          <w:sz w:val="24"/>
          <w:szCs w:val="24"/>
          <w:lang w:val="ru-RU"/>
        </w:rPr>
        <w:t>19</w:t>
      </w:r>
      <w:r w:rsidR="0081302E" w:rsidRPr="008D14C7">
        <w:rPr>
          <w:rFonts w:ascii="Times New Roman" w:hAnsi="Times New Roman" w:cs="Times New Roman"/>
          <w:sz w:val="24"/>
          <w:szCs w:val="24"/>
          <w:lang w:val="ru-RU"/>
        </w:rPr>
        <w:t xml:space="preserve"> </w:t>
      </w:r>
      <w:r w:rsidR="0081302E" w:rsidRPr="008D14C7">
        <w:rPr>
          <w:rFonts w:ascii="Times New Roman" w:hAnsi="Times New Roman" w:cs="Times New Roman"/>
          <w:sz w:val="24"/>
          <w:szCs w:val="24"/>
        </w:rPr>
        <w:t>г. съставътнаСъвет</w:t>
      </w:r>
      <w:r w:rsidR="0081302E" w:rsidRPr="008D14C7">
        <w:rPr>
          <w:rFonts w:ascii="Times New Roman" w:hAnsi="Times New Roman" w:cs="Times New Roman"/>
          <w:sz w:val="24"/>
          <w:szCs w:val="24"/>
          <w:lang w:val="bg-BG"/>
        </w:rPr>
        <w:t>а</w:t>
      </w:r>
      <w:r w:rsidR="0081302E" w:rsidRPr="008D14C7">
        <w:rPr>
          <w:rFonts w:ascii="Times New Roman" w:hAnsi="Times New Roman" w:cs="Times New Roman"/>
          <w:sz w:val="24"/>
          <w:szCs w:val="24"/>
        </w:rPr>
        <w:t xml:space="preserve">надиректоритенадружеството е в следниясъстав:  </w:t>
      </w:r>
    </w:p>
    <w:p w:rsidR="0081302E" w:rsidRPr="008D14C7" w:rsidRDefault="0081302E" w:rsidP="0081302E">
      <w:pPr>
        <w:pStyle w:val="BodyTextIndent"/>
        <w:ind w:firstLine="0"/>
        <w:rPr>
          <w:szCs w:val="24"/>
        </w:rPr>
      </w:pPr>
      <w:r w:rsidRPr="008D14C7">
        <w:rPr>
          <w:szCs w:val="24"/>
        </w:rPr>
        <w:t>1. Михаил Терианос – Изпълнителен директор и Председател на СД</w:t>
      </w:r>
    </w:p>
    <w:p w:rsidR="0081302E" w:rsidRPr="008D14C7" w:rsidRDefault="0081302E" w:rsidP="0081302E">
      <w:pPr>
        <w:pStyle w:val="BodyTextIndent"/>
        <w:ind w:firstLine="0"/>
        <w:rPr>
          <w:szCs w:val="24"/>
        </w:rPr>
      </w:pPr>
      <w:r w:rsidRPr="008D14C7">
        <w:rPr>
          <w:szCs w:val="24"/>
        </w:rPr>
        <w:t>2. Олга Териану – Заместник - председател  на СД</w:t>
      </w:r>
    </w:p>
    <w:p w:rsidR="0081302E" w:rsidRPr="008D14C7" w:rsidRDefault="0081302E" w:rsidP="0081302E">
      <w:pPr>
        <w:pStyle w:val="BodyTextIndent"/>
        <w:ind w:firstLine="0"/>
        <w:rPr>
          <w:szCs w:val="24"/>
        </w:rPr>
      </w:pPr>
      <w:r w:rsidRPr="008D14C7">
        <w:rPr>
          <w:szCs w:val="24"/>
        </w:rPr>
        <w:t xml:space="preserve">3. Елена Йосифова Коцева-Парасхакис – независим член на СД </w:t>
      </w:r>
    </w:p>
    <w:p w:rsidR="004C45A5" w:rsidRPr="008D14C7" w:rsidRDefault="004C45A5" w:rsidP="0081302E">
      <w:pPr>
        <w:pStyle w:val="BodyTextIndent"/>
        <w:ind w:firstLine="0"/>
        <w:rPr>
          <w:szCs w:val="24"/>
        </w:rPr>
      </w:pPr>
    </w:p>
    <w:p w:rsidR="0081302E" w:rsidRPr="008D14C7" w:rsidRDefault="0081302E" w:rsidP="0081302E">
      <w:pPr>
        <w:pStyle w:val="BodyTextIndent"/>
        <w:ind w:firstLine="0"/>
        <w:rPr>
          <w:szCs w:val="24"/>
        </w:rPr>
      </w:pPr>
      <w:r w:rsidRPr="008D14C7">
        <w:rPr>
          <w:szCs w:val="24"/>
          <w:lang w:val="ru-RU"/>
        </w:rPr>
        <w:t xml:space="preserve">Дружеството </w:t>
      </w:r>
      <w:r w:rsidRPr="008D14C7">
        <w:rPr>
          <w:szCs w:val="24"/>
        </w:rPr>
        <w:t xml:space="preserve">се представлява от </w:t>
      </w:r>
      <w:r w:rsidRPr="008D14C7">
        <w:rPr>
          <w:szCs w:val="24"/>
          <w:lang w:val="ru-RU"/>
        </w:rPr>
        <w:t xml:space="preserve">Михаил Пантазис Терианос - Изпълнителен директор и Председател на Съвета на директорите и Олга Христос Териану – </w:t>
      </w:r>
      <w:r w:rsidRPr="008D14C7">
        <w:rPr>
          <w:szCs w:val="24"/>
        </w:rPr>
        <w:t>Заместник–председател  на Съвета на директорите</w:t>
      </w:r>
      <w:r w:rsidRPr="008D14C7">
        <w:rPr>
          <w:szCs w:val="24"/>
          <w:lang w:val="ru-RU"/>
        </w:rPr>
        <w:t>, заедно и поотделно.</w:t>
      </w:r>
    </w:p>
    <w:p w:rsidR="004C45A5" w:rsidRPr="008D14C7" w:rsidRDefault="004C45A5" w:rsidP="0081302E">
      <w:pPr>
        <w:pStyle w:val="BodyTextIndent"/>
        <w:ind w:firstLine="0"/>
        <w:rPr>
          <w:szCs w:val="24"/>
        </w:rPr>
      </w:pPr>
    </w:p>
    <w:p w:rsidR="0081302E" w:rsidRPr="008D14C7" w:rsidRDefault="0081302E" w:rsidP="0081302E">
      <w:pPr>
        <w:pStyle w:val="BodyTextIndent"/>
        <w:ind w:firstLine="0"/>
        <w:rPr>
          <w:szCs w:val="24"/>
        </w:rPr>
      </w:pPr>
      <w:r w:rsidRPr="008D14C7">
        <w:rPr>
          <w:szCs w:val="24"/>
        </w:rPr>
        <w:t>През периода няма промяна  начина на представляване на дружеството. Не е назначаван или освобождаван прокурист.</w:t>
      </w:r>
    </w:p>
    <w:p w:rsidR="004C45A5" w:rsidRPr="008D14C7" w:rsidRDefault="004C45A5" w:rsidP="0081302E">
      <w:pPr>
        <w:pStyle w:val="BodyTextIndent"/>
        <w:ind w:firstLine="0"/>
        <w:rPr>
          <w:szCs w:val="24"/>
        </w:rPr>
      </w:pPr>
    </w:p>
    <w:p w:rsidR="0081302E" w:rsidRPr="008D14C7" w:rsidRDefault="0081302E" w:rsidP="0081302E">
      <w:pPr>
        <w:pStyle w:val="BodyTextIndent"/>
        <w:ind w:firstLine="0"/>
        <w:rPr>
          <w:szCs w:val="24"/>
        </w:rPr>
      </w:pPr>
      <w:r w:rsidRPr="008D14C7">
        <w:rPr>
          <w:szCs w:val="24"/>
        </w:rPr>
        <w:t xml:space="preserve">Съгласно Закона за независимия финансов одит </w:t>
      </w:r>
      <w:r w:rsidR="004C45A5" w:rsidRPr="008D14C7">
        <w:rPr>
          <w:szCs w:val="24"/>
        </w:rPr>
        <w:t xml:space="preserve">дружеството има действащ </w:t>
      </w:r>
      <w:r w:rsidRPr="008D14C7">
        <w:rPr>
          <w:szCs w:val="24"/>
        </w:rPr>
        <w:t xml:space="preserve"> одитен комитет в състав:</w:t>
      </w:r>
    </w:p>
    <w:p w:rsidR="0081302E" w:rsidRPr="008D14C7" w:rsidRDefault="0081302E" w:rsidP="0081302E">
      <w:pPr>
        <w:pStyle w:val="BodyTextIndent"/>
        <w:numPr>
          <w:ilvl w:val="0"/>
          <w:numId w:val="3"/>
        </w:numPr>
        <w:ind w:left="0" w:firstLine="0"/>
        <w:rPr>
          <w:szCs w:val="24"/>
        </w:rPr>
      </w:pPr>
      <w:r w:rsidRPr="008D14C7">
        <w:rPr>
          <w:szCs w:val="24"/>
        </w:rPr>
        <w:lastRenderedPageBreak/>
        <w:t>Руслан Пейчев</w:t>
      </w:r>
      <w:bookmarkStart w:id="0" w:name="_GoBack"/>
      <w:bookmarkEnd w:id="0"/>
    </w:p>
    <w:p w:rsidR="0081302E" w:rsidRPr="008D14C7" w:rsidRDefault="0081302E" w:rsidP="0081302E">
      <w:pPr>
        <w:pStyle w:val="BodyTextIndent"/>
        <w:numPr>
          <w:ilvl w:val="0"/>
          <w:numId w:val="3"/>
        </w:numPr>
        <w:ind w:left="0" w:firstLine="0"/>
        <w:rPr>
          <w:szCs w:val="24"/>
        </w:rPr>
      </w:pPr>
      <w:r w:rsidRPr="008D14C7">
        <w:rPr>
          <w:szCs w:val="24"/>
        </w:rPr>
        <w:t>Тодор Пасков</w:t>
      </w:r>
    </w:p>
    <w:p w:rsidR="004C45A5" w:rsidRPr="008D14C7" w:rsidRDefault="0081302E" w:rsidP="004C45A5">
      <w:pPr>
        <w:pStyle w:val="BodyTextIndent"/>
        <w:numPr>
          <w:ilvl w:val="0"/>
          <w:numId w:val="3"/>
        </w:numPr>
        <w:ind w:left="0" w:firstLine="0"/>
        <w:rPr>
          <w:szCs w:val="24"/>
        </w:rPr>
      </w:pPr>
      <w:r w:rsidRPr="008D14C7">
        <w:rPr>
          <w:szCs w:val="24"/>
        </w:rPr>
        <w:t>Константинос Каридис</w:t>
      </w:r>
    </w:p>
    <w:p w:rsidR="004C45A5" w:rsidRPr="008D14C7" w:rsidRDefault="004C45A5" w:rsidP="004C45A5">
      <w:pPr>
        <w:pStyle w:val="BodyTextIndent"/>
        <w:rPr>
          <w:szCs w:val="24"/>
        </w:rPr>
      </w:pPr>
    </w:p>
    <w:p w:rsidR="004C45A5" w:rsidRPr="008D14C7" w:rsidRDefault="004C45A5" w:rsidP="008D14C7">
      <w:pPr>
        <w:jc w:val="both"/>
        <w:rPr>
          <w:rFonts w:ascii="Times New Roman" w:hAnsi="Times New Roman" w:cs="Times New Roman"/>
          <w:sz w:val="24"/>
          <w:szCs w:val="24"/>
          <w:lang w:val="ru-RU"/>
        </w:rPr>
      </w:pPr>
      <w:r w:rsidRPr="008D14C7">
        <w:rPr>
          <w:rFonts w:ascii="Times New Roman" w:hAnsi="Times New Roman" w:cs="Times New Roman"/>
          <w:sz w:val="24"/>
          <w:szCs w:val="24"/>
          <w:lang w:val="bg-BG"/>
        </w:rPr>
        <w:t xml:space="preserve">Одитният комитет  подпомага работата на Съвета на директорите, има роля на лица натоварени с общото управление, които извършват мониторинг и надзор над вътрешната контролна система,управлението на риска и системата на финансовото отчитане на дружеството. </w:t>
      </w:r>
    </w:p>
    <w:p w:rsidR="0081302E" w:rsidRPr="008D14C7" w:rsidRDefault="00856748" w:rsidP="0081302E">
      <w:pPr>
        <w:pStyle w:val="BodyTextIndent"/>
        <w:ind w:firstLine="0"/>
        <w:rPr>
          <w:szCs w:val="24"/>
        </w:rPr>
      </w:pPr>
      <w:r w:rsidRPr="008D14C7">
        <w:rPr>
          <w:szCs w:val="24"/>
        </w:rPr>
        <w:t xml:space="preserve">Към </w:t>
      </w:r>
      <w:r w:rsidR="00DE25F2">
        <w:rPr>
          <w:szCs w:val="24"/>
          <w:lang w:val="en-US"/>
        </w:rPr>
        <w:t>3</w:t>
      </w:r>
      <w:r w:rsidR="003B4161">
        <w:rPr>
          <w:szCs w:val="24"/>
          <w:lang w:val="en-US"/>
        </w:rPr>
        <w:t>0</w:t>
      </w:r>
      <w:r w:rsidRPr="008D14C7">
        <w:rPr>
          <w:szCs w:val="24"/>
        </w:rPr>
        <w:t>.</w:t>
      </w:r>
      <w:r w:rsidR="00362C35">
        <w:rPr>
          <w:szCs w:val="24"/>
        </w:rPr>
        <w:t>0</w:t>
      </w:r>
      <w:r w:rsidR="003B4161">
        <w:rPr>
          <w:szCs w:val="24"/>
          <w:lang w:val="en-US"/>
        </w:rPr>
        <w:t>9</w:t>
      </w:r>
      <w:r w:rsidR="00362C35">
        <w:rPr>
          <w:szCs w:val="24"/>
        </w:rPr>
        <w:t>.2019</w:t>
      </w:r>
      <w:r w:rsidR="0081302E" w:rsidRPr="008D14C7">
        <w:rPr>
          <w:szCs w:val="24"/>
        </w:rPr>
        <w:t xml:space="preserve"> г. “ЕУРОТЕРРА БЪЛГАРИЯ” АД няма разкрити клонове и представителства в страната и чужбина. </w:t>
      </w:r>
    </w:p>
    <w:p w:rsidR="0081302E" w:rsidRPr="008D14C7" w:rsidRDefault="0081302E" w:rsidP="0081302E">
      <w:pPr>
        <w:pStyle w:val="BodyTextIndent"/>
        <w:ind w:firstLine="0"/>
        <w:rPr>
          <w:szCs w:val="24"/>
        </w:rPr>
      </w:pPr>
    </w:p>
    <w:p w:rsidR="0081302E" w:rsidRPr="003033B1" w:rsidRDefault="0081302E" w:rsidP="003033B1">
      <w:pPr>
        <w:rPr>
          <w:rFonts w:ascii="Times New Roman" w:hAnsi="Times New Roman" w:cs="Times New Roman"/>
          <w:sz w:val="24"/>
          <w:szCs w:val="24"/>
          <w:lang w:val="bg-BG"/>
        </w:rPr>
      </w:pPr>
      <w:r w:rsidRPr="008D14C7">
        <w:rPr>
          <w:rFonts w:ascii="Times New Roman" w:hAnsi="Times New Roman" w:cs="Times New Roman"/>
          <w:sz w:val="24"/>
          <w:szCs w:val="24"/>
          <w:lang w:val="bg-BG"/>
        </w:rPr>
        <w:t>Средната численост на персонала  за отчет</w:t>
      </w:r>
      <w:r w:rsidR="00362C35">
        <w:rPr>
          <w:rFonts w:ascii="Times New Roman" w:hAnsi="Times New Roman" w:cs="Times New Roman"/>
          <w:sz w:val="24"/>
          <w:szCs w:val="24"/>
          <w:lang w:val="bg-BG"/>
        </w:rPr>
        <w:t xml:space="preserve">ния  </w:t>
      </w:r>
      <w:r w:rsidR="00A4715F">
        <w:rPr>
          <w:rFonts w:ascii="Times New Roman" w:hAnsi="Times New Roman" w:cs="Times New Roman"/>
          <w:sz w:val="24"/>
          <w:szCs w:val="24"/>
          <w:lang w:val="bg-BG"/>
        </w:rPr>
        <w:t xml:space="preserve">период на  дружеството е </w:t>
      </w:r>
      <w:r w:rsidR="003B4161">
        <w:rPr>
          <w:rFonts w:ascii="Times New Roman" w:hAnsi="Times New Roman" w:cs="Times New Roman"/>
          <w:sz w:val="24"/>
          <w:szCs w:val="24"/>
        </w:rPr>
        <w:t>6</w:t>
      </w:r>
      <w:r w:rsidR="00A4715F">
        <w:rPr>
          <w:rFonts w:ascii="Times New Roman" w:hAnsi="Times New Roman" w:cs="Times New Roman"/>
          <w:sz w:val="24"/>
          <w:szCs w:val="24"/>
          <w:lang w:val="bg-BG"/>
        </w:rPr>
        <w:t xml:space="preserve"> (</w:t>
      </w:r>
      <w:r w:rsidR="00F00BC2">
        <w:rPr>
          <w:rFonts w:ascii="Times New Roman" w:hAnsi="Times New Roman" w:cs="Times New Roman"/>
          <w:sz w:val="24"/>
          <w:szCs w:val="24"/>
          <w:lang w:val="bg-BG"/>
        </w:rPr>
        <w:t>шест</w:t>
      </w:r>
      <w:r w:rsidRPr="008D14C7">
        <w:rPr>
          <w:rFonts w:ascii="Times New Roman" w:hAnsi="Times New Roman" w:cs="Times New Roman"/>
          <w:sz w:val="24"/>
          <w:szCs w:val="24"/>
          <w:lang w:val="bg-BG"/>
        </w:rPr>
        <w:t>) служители</w:t>
      </w:r>
      <w:r w:rsidR="00A4715F">
        <w:rPr>
          <w:rFonts w:ascii="Times New Roman" w:hAnsi="Times New Roman" w:cs="Times New Roman"/>
          <w:sz w:val="24"/>
          <w:szCs w:val="24"/>
          <w:lang w:val="bg-BG"/>
        </w:rPr>
        <w:t xml:space="preserve"> </w:t>
      </w:r>
      <w:r w:rsidR="004C45A5" w:rsidRPr="008D14C7">
        <w:rPr>
          <w:rFonts w:ascii="Times New Roman" w:hAnsi="Times New Roman" w:cs="Times New Roman"/>
          <w:sz w:val="24"/>
          <w:szCs w:val="24"/>
        </w:rPr>
        <w:t>(</w:t>
      </w:r>
      <w:r w:rsidR="00362C35">
        <w:rPr>
          <w:rFonts w:ascii="Times New Roman" w:hAnsi="Times New Roman" w:cs="Times New Roman"/>
          <w:sz w:val="24"/>
          <w:szCs w:val="24"/>
          <w:lang w:val="bg-BG"/>
        </w:rPr>
        <w:t>2018</w:t>
      </w:r>
      <w:r w:rsidR="004C45A5" w:rsidRPr="008D14C7">
        <w:rPr>
          <w:rFonts w:ascii="Times New Roman" w:hAnsi="Times New Roman" w:cs="Times New Roman"/>
          <w:sz w:val="24"/>
          <w:szCs w:val="24"/>
          <w:lang w:val="bg-BG"/>
        </w:rPr>
        <w:t xml:space="preserve"> г. </w:t>
      </w:r>
      <w:r w:rsidR="00362C35">
        <w:rPr>
          <w:rFonts w:ascii="Times New Roman" w:hAnsi="Times New Roman" w:cs="Times New Roman"/>
          <w:sz w:val="24"/>
          <w:szCs w:val="24"/>
          <w:lang w:val="bg-BG"/>
        </w:rPr>
        <w:t>–</w:t>
      </w:r>
      <w:r w:rsidR="00C23E89">
        <w:rPr>
          <w:rFonts w:ascii="Times New Roman" w:hAnsi="Times New Roman" w:cs="Times New Roman"/>
          <w:sz w:val="24"/>
          <w:szCs w:val="24"/>
        </w:rPr>
        <w:t xml:space="preserve"> 9</w:t>
      </w:r>
      <w:r w:rsidR="00362C35">
        <w:rPr>
          <w:rFonts w:ascii="Times New Roman" w:hAnsi="Times New Roman" w:cs="Times New Roman"/>
          <w:sz w:val="24"/>
          <w:szCs w:val="24"/>
          <w:lang w:val="bg-BG"/>
        </w:rPr>
        <w:t xml:space="preserve"> </w:t>
      </w:r>
      <w:r w:rsidR="004C45A5" w:rsidRPr="008D14C7">
        <w:rPr>
          <w:rFonts w:ascii="Times New Roman" w:hAnsi="Times New Roman" w:cs="Times New Roman"/>
          <w:sz w:val="24"/>
          <w:szCs w:val="24"/>
          <w:lang w:val="bg-BG"/>
        </w:rPr>
        <w:t>служители</w:t>
      </w:r>
      <w:r w:rsidR="004C45A5" w:rsidRPr="008D14C7">
        <w:rPr>
          <w:rFonts w:ascii="Times New Roman" w:hAnsi="Times New Roman" w:cs="Times New Roman"/>
          <w:sz w:val="24"/>
          <w:szCs w:val="24"/>
        </w:rPr>
        <w:t>)</w:t>
      </w:r>
      <w:r w:rsidRPr="008D14C7">
        <w:rPr>
          <w:rFonts w:ascii="Times New Roman" w:hAnsi="Times New Roman" w:cs="Times New Roman"/>
          <w:sz w:val="24"/>
          <w:szCs w:val="24"/>
          <w:lang w:val="bg-BG"/>
        </w:rPr>
        <w:t>.</w:t>
      </w:r>
    </w:p>
    <w:p w:rsidR="0081302E" w:rsidRPr="008D14C7" w:rsidRDefault="0081302E" w:rsidP="0081302E">
      <w:pPr>
        <w:rPr>
          <w:rFonts w:ascii="Times New Roman" w:hAnsi="Times New Roman" w:cs="Times New Roman"/>
          <w:b/>
          <w:sz w:val="24"/>
          <w:szCs w:val="24"/>
        </w:rPr>
      </w:pPr>
    </w:p>
    <w:p w:rsidR="0081302E" w:rsidRPr="008D14C7" w:rsidRDefault="00BF745C"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База за изготвяне на финансовия отчет</w:t>
      </w:r>
    </w:p>
    <w:p w:rsidR="004C45A5" w:rsidRPr="008D14C7" w:rsidRDefault="004C45A5" w:rsidP="008D14C7">
      <w:pPr>
        <w:pStyle w:val="Default"/>
        <w:ind w:firstLine="720"/>
        <w:jc w:val="both"/>
        <w:rPr>
          <w:noProof/>
        </w:rPr>
      </w:pPr>
      <w:r w:rsidRPr="008D14C7">
        <w:t xml:space="preserve">Финансовият </w:t>
      </w:r>
      <w:r w:rsidR="0081302E" w:rsidRPr="008D14C7">
        <w:t>отчет</w:t>
      </w:r>
      <w:r w:rsidRPr="008D14C7">
        <w:t xml:space="preserve"> на дружеството е </w:t>
      </w:r>
      <w:r w:rsidR="0081302E" w:rsidRPr="008D14C7">
        <w:t xml:space="preserve">изготвен в съответствие с Международните стандарти за финансово отчитане (МСФО), </w:t>
      </w:r>
      <w:r w:rsidRPr="008D14C7">
        <w:rPr>
          <w:noProof/>
        </w:rPr>
        <w:t>които се състоят от: стандарти за финансови отчети и от тълкувания на Комитета за разяснения на МСФО (КРМСФО), одобрени от Съвета по Международни счетоводни стандарти (СМСС), и Международните счетоводни стандарти и тълкуванията на Постоянния комитет за разясняване (ПКРБ), одобрени от Комитета по Международни счетоводни стандарти (КМСС), които ефективно са в сила на 1 януари 2018 г., и които са приети от Комисията на Европейския съюз.</w:t>
      </w:r>
      <w:r w:rsidRPr="008D14C7">
        <w:t xml:space="preserve"> МСФО, приeти от ЕС, е общоприетото наименование на рамката с общо предназначение-счетоводна база, еквивалентна на рамката, въведена с дефиницията съгласно § 1, т. 8 от Допълнителните разпоредби на Закона за счетоводството под наименованието „Международни счетоводни стандарти” (МСС).</w:t>
      </w:r>
    </w:p>
    <w:p w:rsidR="002E01C3" w:rsidRPr="008D14C7" w:rsidRDefault="002E01C3" w:rsidP="0081302E">
      <w:pPr>
        <w:rPr>
          <w:rFonts w:ascii="Times New Roman" w:hAnsi="Times New Roman" w:cs="Times New Roman"/>
          <w:sz w:val="24"/>
          <w:szCs w:val="24"/>
          <w:lang w:val="bg-BG"/>
        </w:rPr>
      </w:pPr>
      <w:r w:rsidRPr="008D14C7">
        <w:rPr>
          <w:rFonts w:ascii="Times New Roman" w:hAnsi="Times New Roman" w:cs="Times New Roman"/>
          <w:noProof/>
          <w:sz w:val="24"/>
          <w:szCs w:val="24"/>
        </w:rPr>
        <w:t>Индивидуалният финансов отчет на дружеството е изготвен на база историческата цена</w:t>
      </w:r>
      <w:r w:rsidRPr="008D14C7">
        <w:rPr>
          <w:rFonts w:ascii="Times New Roman" w:hAnsi="Times New Roman" w:cs="Times New Roman"/>
          <w:sz w:val="24"/>
          <w:szCs w:val="24"/>
          <w:lang w:val="bg-BG"/>
        </w:rPr>
        <w:t>в това число и инвестиционните имоти, отчитани по модела цена на придобиване.</w:t>
      </w:r>
    </w:p>
    <w:p w:rsidR="0081302E" w:rsidRPr="008D14C7" w:rsidRDefault="0081302E" w:rsidP="008D14C7">
      <w:pPr>
        <w:rPr>
          <w:rFonts w:ascii="Times New Roman" w:hAnsi="Times New Roman" w:cs="Times New Roman"/>
          <w:sz w:val="24"/>
          <w:szCs w:val="24"/>
          <w:lang w:val="bg-BG"/>
        </w:rPr>
      </w:pPr>
    </w:p>
    <w:p w:rsidR="00BF745C" w:rsidRPr="008D14C7" w:rsidRDefault="00BF745C" w:rsidP="00BF745C">
      <w:pPr>
        <w:spacing w:before="120" w:after="60" w:line="280" w:lineRule="exact"/>
        <w:jc w:val="both"/>
        <w:rPr>
          <w:rFonts w:ascii="Times New Roman" w:hAnsi="Times New Roman" w:cs="Times New Roman"/>
          <w:sz w:val="24"/>
          <w:szCs w:val="24"/>
          <w:lang w:val="bg-BG"/>
        </w:rPr>
      </w:pPr>
      <w:r w:rsidRPr="008D14C7">
        <w:rPr>
          <w:rFonts w:ascii="Times New Roman" w:hAnsi="Times New Roman" w:cs="Times New Roman"/>
          <w:sz w:val="24"/>
          <w:szCs w:val="24"/>
          <w:lang w:val="bg-BG"/>
        </w:rPr>
        <w:t>Годишният ф</w:t>
      </w:r>
      <w:r w:rsidR="0081302E" w:rsidRPr="008D14C7">
        <w:rPr>
          <w:rFonts w:ascii="Times New Roman" w:hAnsi="Times New Roman" w:cs="Times New Roman"/>
          <w:sz w:val="24"/>
          <w:szCs w:val="24"/>
          <w:lang w:val="bg-BG"/>
        </w:rPr>
        <w:t xml:space="preserve">инансов отчет </w:t>
      </w:r>
      <w:r w:rsidRPr="008D14C7">
        <w:rPr>
          <w:rFonts w:ascii="Times New Roman" w:hAnsi="Times New Roman" w:cs="Times New Roman"/>
          <w:sz w:val="24"/>
          <w:szCs w:val="24"/>
          <w:lang w:val="bg-BG"/>
        </w:rPr>
        <w:t xml:space="preserve">на дружеството </w:t>
      </w:r>
      <w:r w:rsidR="0081302E" w:rsidRPr="008D14C7">
        <w:rPr>
          <w:rFonts w:ascii="Times New Roman" w:hAnsi="Times New Roman" w:cs="Times New Roman"/>
          <w:sz w:val="24"/>
          <w:szCs w:val="24"/>
          <w:lang w:val="bg-BG"/>
        </w:rPr>
        <w:t>е съставен при спазване на принципа на действащо предприятие. Към датата на изготвяне на настоящия финансов отчет ръководството е направило преценка на способността на Дружеството да продължи своята дейност като действащо предприятие на база на наличната информация за предвидимото бъдеще.</w:t>
      </w:r>
    </w:p>
    <w:p w:rsidR="00BF745C" w:rsidRPr="008D14C7" w:rsidRDefault="00BF745C" w:rsidP="00BF745C">
      <w:pPr>
        <w:spacing w:before="120" w:after="60" w:line="280" w:lineRule="exact"/>
        <w:jc w:val="both"/>
        <w:rPr>
          <w:rFonts w:ascii="Times New Roman" w:hAnsi="Times New Roman" w:cs="Times New Roman"/>
          <w:bCs/>
          <w:sz w:val="24"/>
          <w:szCs w:val="24"/>
        </w:rPr>
      </w:pPr>
      <w:r w:rsidRPr="008D14C7">
        <w:rPr>
          <w:rFonts w:ascii="Times New Roman" w:hAnsi="Times New Roman" w:cs="Times New Roman"/>
          <w:sz w:val="24"/>
          <w:szCs w:val="24"/>
        </w:rPr>
        <w:t>„ЕУРОТЕРРА БЪЛГАРИЯ” АД</w:t>
      </w:r>
      <w:r w:rsidRPr="008D14C7">
        <w:rPr>
          <w:rFonts w:ascii="Times New Roman" w:hAnsi="Times New Roman" w:cs="Times New Roman"/>
          <w:bCs/>
          <w:sz w:val="24"/>
          <w:szCs w:val="24"/>
        </w:rPr>
        <w:t xml:space="preserve">планирадазапазисегашнатасидейностчрезразвитиенаполитикатанаинвестиции в недвижимиимоти, с потенциалзанарастваненатяхнатастойност, както и инвестиции в имоти с възможностзаотдаванеподнаем и реализираненаприходиотпредоставенитеуслуги. </w:t>
      </w:r>
    </w:p>
    <w:p w:rsidR="00BF745C" w:rsidRPr="008D14C7" w:rsidRDefault="00BF745C" w:rsidP="00BF745C">
      <w:pPr>
        <w:spacing w:before="120" w:after="60" w:line="280" w:lineRule="exact"/>
        <w:jc w:val="both"/>
        <w:rPr>
          <w:rFonts w:ascii="Times New Roman" w:hAnsi="Times New Roman" w:cs="Times New Roman"/>
          <w:bCs/>
          <w:sz w:val="24"/>
          <w:szCs w:val="24"/>
          <w:lang w:val="bg-BG"/>
        </w:rPr>
      </w:pPr>
      <w:r w:rsidRPr="008D14C7">
        <w:rPr>
          <w:rFonts w:ascii="Times New Roman" w:hAnsi="Times New Roman" w:cs="Times New Roman"/>
          <w:sz w:val="24"/>
          <w:szCs w:val="24"/>
        </w:rPr>
        <w:lastRenderedPageBreak/>
        <w:t>ОсновенприоритетзаДружеството е разработванетонарентабилни и перспективниинвестиционнипроекти и повишаванеефективносттанасъществуващитеинвестиционнистратегии</w:t>
      </w:r>
      <w:r w:rsidRPr="008D14C7">
        <w:rPr>
          <w:rFonts w:ascii="Times New Roman" w:hAnsi="Times New Roman" w:cs="Times New Roman"/>
          <w:bCs/>
          <w:sz w:val="24"/>
          <w:szCs w:val="24"/>
        </w:rPr>
        <w:t>.</w:t>
      </w:r>
    </w:p>
    <w:p w:rsidR="00BF745C" w:rsidRPr="008D14C7" w:rsidRDefault="00BF745C" w:rsidP="00BF745C">
      <w:pPr>
        <w:pStyle w:val="Default"/>
        <w:spacing w:line="276" w:lineRule="auto"/>
        <w:jc w:val="both"/>
        <w:rPr>
          <w:noProof/>
          <w:color w:val="auto"/>
          <w:lang w:eastAsia="en-US"/>
        </w:rPr>
      </w:pPr>
      <w:r w:rsidRPr="008D14C7">
        <w:rPr>
          <w:noProof/>
          <w:color w:val="auto"/>
          <w:lang w:eastAsia="en-US"/>
        </w:rPr>
        <w:t xml:space="preserve">Дружеството води своите счетоводни регистри в български лев (BGN), който приема като негова отчетна валута за представяне. Данните в индивидуалния финансов отчет и приложенията към него са представени в хиляди лева, освен ако нещо друго изрично не е указано. </w:t>
      </w:r>
    </w:p>
    <w:p w:rsidR="00BF745C" w:rsidRPr="008D14C7" w:rsidRDefault="00BF745C" w:rsidP="00BF745C">
      <w:pPr>
        <w:pStyle w:val="Default"/>
        <w:spacing w:line="276" w:lineRule="auto"/>
        <w:jc w:val="both"/>
        <w:rPr>
          <w:noProof/>
          <w:color w:val="auto"/>
          <w:lang w:eastAsia="en-US"/>
        </w:rPr>
      </w:pPr>
    </w:p>
    <w:p w:rsidR="00BF745C" w:rsidRPr="008D14C7" w:rsidRDefault="00BF745C" w:rsidP="008D14C7">
      <w:pPr>
        <w:pStyle w:val="Default"/>
        <w:spacing w:line="276" w:lineRule="auto"/>
        <w:jc w:val="both"/>
        <w:rPr>
          <w:noProof/>
          <w:color w:val="auto"/>
          <w:lang w:eastAsia="en-US"/>
        </w:rPr>
      </w:pPr>
      <w:r w:rsidRPr="008D14C7">
        <w:rPr>
          <w:noProof/>
        </w:rPr>
        <w:t>Представянето на финансов отчет съгласно Международните стандарти за финансови отчети изисква ръководството да направи най-добри приблизителни оценки, начисления и разумно обосновани предположения, които оказват ефект върху отчетените стойности на активите и пасивите, на приходите и разходите, и на оповестяването на условни вземания и задължения към датата на отчета. Тези приблизителни оценки, начисления и предположения са основани на информацията, която е налична към датата на финансовия отчет, поради което бъдещите фактически резултати биха могли да бъдат различни от тях.</w:t>
      </w:r>
    </w:p>
    <w:p w:rsidR="00BF745C" w:rsidRPr="008D14C7" w:rsidRDefault="00BF745C" w:rsidP="0081302E">
      <w:pPr>
        <w:rPr>
          <w:rFonts w:ascii="Times New Roman" w:hAnsi="Times New Roman" w:cs="Times New Roman"/>
          <w:sz w:val="24"/>
          <w:szCs w:val="24"/>
          <w:lang w:val="bg-BG"/>
        </w:rPr>
      </w:pPr>
    </w:p>
    <w:p w:rsidR="00BF745C" w:rsidRPr="00033231" w:rsidRDefault="00BF745C" w:rsidP="008D14C7">
      <w:pPr>
        <w:pStyle w:val="BodyTextIndent2"/>
        <w:numPr>
          <w:ilvl w:val="1"/>
          <w:numId w:val="1"/>
        </w:numPr>
        <w:spacing w:line="276" w:lineRule="auto"/>
        <w:rPr>
          <w:rFonts w:ascii="Times New Roman" w:hAnsi="Times New Roman" w:cs="Times New Roman"/>
          <w:b/>
          <w:noProof/>
          <w:sz w:val="24"/>
          <w:szCs w:val="24"/>
          <w:lang w:val="bg-BG"/>
        </w:rPr>
      </w:pPr>
      <w:r w:rsidRPr="00033231">
        <w:rPr>
          <w:rFonts w:ascii="Times New Roman" w:hAnsi="Times New Roman" w:cs="Times New Roman"/>
          <w:b/>
          <w:noProof/>
          <w:sz w:val="24"/>
          <w:szCs w:val="24"/>
          <w:lang w:val="bg-BG"/>
        </w:rPr>
        <w:t>Сравнителни данни</w:t>
      </w:r>
    </w:p>
    <w:p w:rsidR="00BF745C" w:rsidRPr="008D14C7" w:rsidRDefault="00BF745C" w:rsidP="008D14C7">
      <w:pPr>
        <w:pStyle w:val="BodyTextIndent2"/>
        <w:spacing w:line="276" w:lineRule="auto"/>
        <w:ind w:left="0"/>
        <w:rPr>
          <w:rFonts w:ascii="Times New Roman" w:hAnsi="Times New Roman" w:cs="Times New Roman"/>
          <w:noProof/>
          <w:sz w:val="24"/>
          <w:szCs w:val="24"/>
        </w:rPr>
      </w:pPr>
      <w:r w:rsidRPr="008D14C7">
        <w:rPr>
          <w:rFonts w:ascii="Times New Roman" w:hAnsi="Times New Roman" w:cs="Times New Roman"/>
          <w:noProof/>
          <w:sz w:val="24"/>
          <w:szCs w:val="24"/>
        </w:rPr>
        <w:t>Дружеството представя сравнителна информация в този финансов отчет за една предходна година.</w:t>
      </w:r>
    </w:p>
    <w:p w:rsidR="00BF745C" w:rsidRPr="008D14C7" w:rsidRDefault="00BF745C" w:rsidP="00BF745C">
      <w:pPr>
        <w:pStyle w:val="BodyTextIndent2"/>
        <w:spacing w:line="276" w:lineRule="auto"/>
        <w:ind w:left="0"/>
        <w:rPr>
          <w:rFonts w:ascii="Times New Roman" w:hAnsi="Times New Roman" w:cs="Times New Roman"/>
          <w:noProof/>
          <w:sz w:val="24"/>
          <w:szCs w:val="24"/>
        </w:rPr>
      </w:pPr>
      <w:r w:rsidRPr="008D14C7">
        <w:rPr>
          <w:rFonts w:ascii="Times New Roman" w:hAnsi="Times New Roman" w:cs="Times New Roman"/>
          <w:noProof/>
          <w:sz w:val="24"/>
          <w:szCs w:val="24"/>
        </w:rPr>
        <w:t xml:space="preserve">Когато е необходимо, сравнителните данни се рекласифицират (и/или преизчисляват), за да се постигне съпоставимост спрямо промени в представянето в текущата година. </w:t>
      </w:r>
    </w:p>
    <w:p w:rsidR="00BF745C" w:rsidRPr="00033231" w:rsidRDefault="00BF745C" w:rsidP="00BF745C">
      <w:pPr>
        <w:pStyle w:val="BodyTextIndent2"/>
        <w:spacing w:line="276" w:lineRule="auto"/>
        <w:ind w:left="0"/>
        <w:rPr>
          <w:rFonts w:ascii="Times New Roman" w:hAnsi="Times New Roman" w:cs="Times New Roman"/>
          <w:b/>
          <w:noProof/>
          <w:sz w:val="24"/>
          <w:szCs w:val="24"/>
        </w:rPr>
      </w:pPr>
    </w:p>
    <w:p w:rsidR="00BF745C" w:rsidRPr="00033231" w:rsidRDefault="00BF745C" w:rsidP="008D14C7">
      <w:pPr>
        <w:pStyle w:val="ListParagraph"/>
        <w:numPr>
          <w:ilvl w:val="1"/>
          <w:numId w:val="1"/>
        </w:numPr>
        <w:jc w:val="both"/>
        <w:rPr>
          <w:rFonts w:ascii="Times New Roman" w:hAnsi="Times New Roman" w:cs="Times New Roman"/>
          <w:b/>
          <w:sz w:val="24"/>
          <w:szCs w:val="24"/>
          <w:lang w:val="bg-BG"/>
        </w:rPr>
      </w:pPr>
      <w:r w:rsidRPr="00033231">
        <w:rPr>
          <w:rFonts w:ascii="Times New Roman" w:hAnsi="Times New Roman" w:cs="Times New Roman"/>
          <w:b/>
          <w:sz w:val="24"/>
          <w:szCs w:val="24"/>
          <w:lang w:val="bg-BG"/>
        </w:rPr>
        <w:t>Функционална валута и признаване на курсови разлики</w:t>
      </w:r>
    </w:p>
    <w:p w:rsidR="00BF745C" w:rsidRPr="008D14C7" w:rsidRDefault="00BF745C" w:rsidP="008D14C7">
      <w:pPr>
        <w:jc w:val="both"/>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Функционалната и отчетна валута на дружеството е българският лев. От 01.07.1997 г. левът е фиксиран в съответствие със Закона за БНБ към германската марка в съотношение BGN 1:DEM 1, а с въвеждането на еврото като официална валута на Европейския съюз - с еврото в съотношение BGN 1.95583:EUR 1. </w:t>
      </w:r>
    </w:p>
    <w:p w:rsidR="00BF745C" w:rsidRPr="008D14C7" w:rsidRDefault="00BF745C" w:rsidP="008D14C7">
      <w:pPr>
        <w:jc w:val="both"/>
        <w:rPr>
          <w:rFonts w:ascii="Times New Roman" w:hAnsi="Times New Roman" w:cs="Times New Roman"/>
          <w:sz w:val="24"/>
          <w:szCs w:val="24"/>
          <w:lang w:val="bg-BG"/>
        </w:rPr>
      </w:pPr>
      <w:r w:rsidRPr="008D14C7">
        <w:rPr>
          <w:rFonts w:ascii="Times New Roman" w:hAnsi="Times New Roman" w:cs="Times New Roman"/>
          <w:sz w:val="24"/>
          <w:szCs w:val="24"/>
          <w:lang w:val="bg-BG"/>
        </w:rPr>
        <w:t>При първоначално признаване, сделка в чуждестранна валута се записва във функционалната валута, като към сумата в чуждестранна валута се прилага обменният курс към момента на сделката или операцията. Паричните средства, вземанията и задълженията, като монетарни отчетни обекти, деноминирани в чуждестранна валута се отчитат във функционалната валута като се прилага обменният курс, публикуван от БНБ за последния работен ден на съответния месец. Към 3</w:t>
      </w:r>
      <w:r w:rsidR="003B4161">
        <w:rPr>
          <w:rFonts w:ascii="Times New Roman" w:hAnsi="Times New Roman" w:cs="Times New Roman"/>
          <w:sz w:val="24"/>
          <w:szCs w:val="24"/>
        </w:rPr>
        <w:t>0.09.2019</w:t>
      </w:r>
      <w:r w:rsidRPr="008D14C7">
        <w:rPr>
          <w:rFonts w:ascii="Times New Roman" w:hAnsi="Times New Roman" w:cs="Times New Roman"/>
          <w:sz w:val="24"/>
          <w:szCs w:val="24"/>
          <w:lang w:val="bg-BG"/>
        </w:rPr>
        <w:t xml:space="preserve"> те се оценяват в български лева като се използва заключителният обменен курс на БНБ.</w:t>
      </w:r>
    </w:p>
    <w:p w:rsidR="00BF745C" w:rsidRPr="008D14C7" w:rsidRDefault="00BF745C" w:rsidP="008D14C7">
      <w:pPr>
        <w:jc w:val="both"/>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Немонетарните отчетни обекти в отчета за финансово състояние, първоначално деноминирани в чуждестранна валута, се отчитат във функционалната валута като се </w:t>
      </w:r>
      <w:r w:rsidRPr="008D14C7">
        <w:rPr>
          <w:rFonts w:ascii="Times New Roman" w:hAnsi="Times New Roman" w:cs="Times New Roman"/>
          <w:sz w:val="24"/>
          <w:szCs w:val="24"/>
          <w:lang w:val="bg-BG"/>
        </w:rPr>
        <w:lastRenderedPageBreak/>
        <w:t>прилага историческият обменен курс към датата на операцията и последващо не се преоценяват по заключителен курс.</w:t>
      </w:r>
    </w:p>
    <w:p w:rsidR="00BF745C" w:rsidRPr="008D14C7" w:rsidRDefault="00BF745C" w:rsidP="008D14C7">
      <w:pPr>
        <w:pStyle w:val="BodyTextIndent2"/>
        <w:spacing w:line="276" w:lineRule="auto"/>
        <w:ind w:left="0"/>
        <w:rPr>
          <w:rFonts w:ascii="Times New Roman" w:hAnsi="Times New Roman" w:cs="Times New Roman"/>
          <w:color w:val="FF0000"/>
          <w:sz w:val="24"/>
          <w:szCs w:val="24"/>
          <w:lang w:val="ru-RU"/>
        </w:rPr>
      </w:pPr>
      <w:r w:rsidRPr="008D14C7">
        <w:rPr>
          <w:rFonts w:ascii="Times New Roman" w:hAnsi="Times New Roman" w:cs="Times New Roman"/>
          <w:sz w:val="24"/>
          <w:szCs w:val="24"/>
        </w:rPr>
        <w:t>Ефектитеоткурсовитеразлики, свързани с урежданетонасделки в чуждестраннавалута, илиотчитанетонатърговскисделки в чуждестраннавалутапокурсове, коитосаразлични, оттези, покоитопървоначалносабилипризнати, севключват в отчетазавсеобхватниядоход в моментанавъзникванетоим, катосетретираткато “</w:t>
      </w:r>
      <w:r w:rsidRPr="008D14C7">
        <w:rPr>
          <w:rFonts w:ascii="Times New Roman" w:hAnsi="Times New Roman" w:cs="Times New Roman"/>
          <w:noProof/>
          <w:sz w:val="24"/>
          <w:szCs w:val="24"/>
        </w:rPr>
        <w:t>финансови приходи” или „финансови разходи”</w:t>
      </w:r>
      <w:r w:rsidRPr="008D14C7">
        <w:rPr>
          <w:rFonts w:ascii="Times New Roman" w:hAnsi="Times New Roman" w:cs="Times New Roman"/>
          <w:sz w:val="24"/>
          <w:szCs w:val="24"/>
        </w:rPr>
        <w:t>.</w:t>
      </w:r>
    </w:p>
    <w:p w:rsidR="00BF745C" w:rsidRPr="008D14C7" w:rsidRDefault="00BF745C" w:rsidP="008D14C7">
      <w:pPr>
        <w:pStyle w:val="BodyTextIndent2"/>
        <w:spacing w:line="276" w:lineRule="auto"/>
        <w:ind w:left="0"/>
        <w:rPr>
          <w:rFonts w:ascii="Times New Roman" w:hAnsi="Times New Roman" w:cs="Times New Roman"/>
          <w:noProof/>
          <w:sz w:val="24"/>
          <w:szCs w:val="24"/>
        </w:rPr>
      </w:pPr>
    </w:p>
    <w:p w:rsidR="0081302E" w:rsidRPr="008D14C7" w:rsidRDefault="0081302E"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Признаване на приходи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Приходите се признават на база принципа на начисляване и до степен, до която стопанските изгоди се придобиват от дружеството и доколкото приходите могат да се оценят надеждно. Приходите се оценяват по справедливата стойност на полученото възнаграждение, намалени с отстъпки и данъци върху продажбите. Приходите от продажби на услуги – наеми се начисляват в момента на тяхното възникване, независимо от паричните постъпления. Приходите от продажби на имоти се признават, когато:</w:t>
      </w:r>
    </w:p>
    <w:p w:rsidR="0081302E" w:rsidRPr="008D14C7" w:rsidRDefault="0081302E" w:rsidP="0081302E">
      <w:pPr>
        <w:pStyle w:val="ListParagraph"/>
        <w:numPr>
          <w:ilvl w:val="0"/>
          <w:numId w:val="2"/>
        </w:numPr>
        <w:ind w:left="0" w:firstLine="0"/>
        <w:rPr>
          <w:rFonts w:ascii="Times New Roman" w:hAnsi="Times New Roman" w:cs="Times New Roman"/>
          <w:sz w:val="24"/>
          <w:szCs w:val="24"/>
          <w:lang w:val="bg-BG"/>
        </w:rPr>
      </w:pPr>
      <w:r w:rsidRPr="008D14C7">
        <w:rPr>
          <w:rFonts w:ascii="Times New Roman" w:hAnsi="Times New Roman" w:cs="Times New Roman"/>
          <w:sz w:val="24"/>
          <w:szCs w:val="24"/>
          <w:lang w:val="bg-BG"/>
        </w:rPr>
        <w:t>дружеството е прехвърлило на купувача значителните рискове и ползи, произтичащи от собствеността върху имотите</w:t>
      </w:r>
      <w:r w:rsidRPr="008D14C7">
        <w:rPr>
          <w:rFonts w:ascii="Times New Roman" w:hAnsi="Times New Roman" w:cs="Times New Roman"/>
          <w:sz w:val="24"/>
          <w:szCs w:val="24"/>
        </w:rPr>
        <w:t>;</w:t>
      </w:r>
    </w:p>
    <w:p w:rsidR="0081302E" w:rsidRPr="008D14C7" w:rsidRDefault="0081302E" w:rsidP="0081302E">
      <w:pPr>
        <w:pStyle w:val="ListParagraph"/>
        <w:numPr>
          <w:ilvl w:val="0"/>
          <w:numId w:val="2"/>
        </w:numPr>
        <w:ind w:left="0" w:firstLine="0"/>
        <w:rPr>
          <w:rFonts w:ascii="Times New Roman" w:hAnsi="Times New Roman" w:cs="Times New Roman"/>
          <w:sz w:val="24"/>
          <w:szCs w:val="24"/>
          <w:lang w:val="bg-BG"/>
        </w:rPr>
      </w:pPr>
      <w:r w:rsidRPr="008D14C7">
        <w:rPr>
          <w:rFonts w:ascii="Times New Roman" w:hAnsi="Times New Roman" w:cs="Times New Roman"/>
          <w:sz w:val="24"/>
          <w:szCs w:val="24"/>
          <w:lang w:val="bg-BG"/>
        </w:rPr>
        <w:t>дружеството не запазва нито продължаващо участие в управлението, до степента, която обикновено се свързва с правото на собственост, нито ефективен контрол върху продадения актив</w:t>
      </w:r>
      <w:r w:rsidRPr="008D14C7">
        <w:rPr>
          <w:rFonts w:ascii="Times New Roman" w:hAnsi="Times New Roman" w:cs="Times New Roman"/>
          <w:sz w:val="24"/>
          <w:szCs w:val="24"/>
        </w:rPr>
        <w:t>;</w:t>
      </w:r>
    </w:p>
    <w:p w:rsidR="0081302E" w:rsidRPr="008D14C7" w:rsidRDefault="0081302E" w:rsidP="0081302E">
      <w:pPr>
        <w:pStyle w:val="ListParagraph"/>
        <w:numPr>
          <w:ilvl w:val="0"/>
          <w:numId w:val="2"/>
        </w:numPr>
        <w:ind w:left="0" w:firstLine="0"/>
        <w:rPr>
          <w:rFonts w:ascii="Times New Roman" w:hAnsi="Times New Roman" w:cs="Times New Roman"/>
          <w:sz w:val="24"/>
          <w:szCs w:val="24"/>
          <w:lang w:val="bg-BG"/>
        </w:rPr>
      </w:pPr>
      <w:r w:rsidRPr="008D14C7">
        <w:rPr>
          <w:rFonts w:ascii="Times New Roman" w:hAnsi="Times New Roman" w:cs="Times New Roman"/>
          <w:sz w:val="24"/>
          <w:szCs w:val="24"/>
          <w:lang w:val="bg-BG"/>
        </w:rPr>
        <w:t>сумата на приходите може да бъде надеждно измерена</w:t>
      </w:r>
      <w:r w:rsidRPr="008D14C7">
        <w:rPr>
          <w:rFonts w:ascii="Times New Roman" w:hAnsi="Times New Roman" w:cs="Times New Roman"/>
          <w:sz w:val="24"/>
          <w:szCs w:val="24"/>
        </w:rPr>
        <w:t>;</w:t>
      </w:r>
    </w:p>
    <w:p w:rsidR="0081302E" w:rsidRPr="008D14C7" w:rsidRDefault="0081302E" w:rsidP="0081302E">
      <w:pPr>
        <w:pStyle w:val="ListParagraph"/>
        <w:numPr>
          <w:ilvl w:val="0"/>
          <w:numId w:val="2"/>
        </w:numPr>
        <w:ind w:left="0" w:firstLine="0"/>
        <w:rPr>
          <w:rFonts w:ascii="Times New Roman" w:hAnsi="Times New Roman" w:cs="Times New Roman"/>
          <w:sz w:val="24"/>
          <w:szCs w:val="24"/>
          <w:lang w:val="bg-BG"/>
        </w:rPr>
      </w:pPr>
      <w:r w:rsidRPr="008D14C7">
        <w:rPr>
          <w:rFonts w:ascii="Times New Roman" w:hAnsi="Times New Roman" w:cs="Times New Roman"/>
          <w:sz w:val="24"/>
          <w:szCs w:val="24"/>
          <w:lang w:val="bg-BG"/>
        </w:rPr>
        <w:t>когато е вероятно, че икономическите ползи, свързани със сделката ще се влеят в дружеството, както и направените разходи по сделката, или тези, които предстои да бъдат направени, могат да бъдат надеждно измерени.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Приходите от продажба на имоти се признават по справедлива стойност на полученото възнаграждение или възнаграждението, което се очаква да бъде получено. Приход от продажба на стоки – имоти се признава в отчета за печалбата или загубата и другия всеобхватен доход след ефективна продажба с нотариален акт. Отчетната стойност на продажбите се формира от разходи, които са директно свързани с изграждането на продадените през годината имоти, като разходи за проектантски и архитектурни работи, строително-монтажни работи, разходи за персонал и разходи по обслужването на целеви банков кредит във връзка със строителството – банкови лихви и такси. </w:t>
      </w:r>
    </w:p>
    <w:p w:rsidR="0081302E" w:rsidRPr="008D14C7" w:rsidRDefault="0081302E"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Разходи</w:t>
      </w:r>
    </w:p>
    <w:p w:rsidR="005C538D"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Разходите се признават в момента на тяхното възникване и на база принципите на начисляване и съпоставимост. Оценяват се по справедлива стойност на платеното или подлежащо за получаване. </w:t>
      </w:r>
    </w:p>
    <w:p w:rsidR="005C538D" w:rsidRPr="008D14C7" w:rsidRDefault="005C538D" w:rsidP="008D14C7">
      <w:pPr>
        <w:jc w:val="both"/>
        <w:rPr>
          <w:rFonts w:ascii="Times New Roman" w:hAnsi="Times New Roman" w:cs="Times New Roman"/>
          <w:sz w:val="24"/>
          <w:szCs w:val="24"/>
          <w:lang w:val="bg-BG"/>
        </w:rPr>
      </w:pPr>
      <w:r w:rsidRPr="008D14C7">
        <w:rPr>
          <w:rFonts w:ascii="Times New Roman" w:hAnsi="Times New Roman" w:cs="Times New Roman"/>
          <w:sz w:val="24"/>
          <w:szCs w:val="24"/>
          <w:lang w:val="bg-BG"/>
        </w:rPr>
        <w:lastRenderedPageBreak/>
        <w:t>Разходите за бъдещи периоди се отлагат за признаване като текущ разход за периода, през който договорите, за които се отнасят, се изпълняват.</w:t>
      </w:r>
    </w:p>
    <w:p w:rsidR="005C538D" w:rsidRPr="008D14C7" w:rsidRDefault="005C538D" w:rsidP="008D14C7">
      <w:pPr>
        <w:pStyle w:val="BodyTextIndent2"/>
        <w:spacing w:line="276" w:lineRule="auto"/>
        <w:ind w:left="0"/>
        <w:rPr>
          <w:rFonts w:ascii="Times New Roman" w:hAnsi="Times New Roman" w:cs="Times New Roman"/>
          <w:sz w:val="24"/>
          <w:szCs w:val="24"/>
          <w:lang w:val="ru-RU"/>
        </w:rPr>
      </w:pPr>
      <w:r w:rsidRPr="008D14C7">
        <w:rPr>
          <w:rFonts w:ascii="Times New Roman" w:hAnsi="Times New Roman" w:cs="Times New Roman"/>
          <w:sz w:val="24"/>
          <w:szCs w:val="24"/>
        </w:rPr>
        <w:t>Финансовитеразходисевключват в отчетазавсеобхватниядоход, когатовъзникнат, катосесъстоятот: лихвениразходи, свързани с получени</w:t>
      </w:r>
      <w:r w:rsidRPr="008D14C7">
        <w:rPr>
          <w:rFonts w:ascii="Times New Roman" w:hAnsi="Times New Roman" w:cs="Times New Roman"/>
          <w:sz w:val="24"/>
          <w:szCs w:val="24"/>
          <w:lang w:val="bg-BG"/>
        </w:rPr>
        <w:t xml:space="preserve">банкови </w:t>
      </w:r>
      <w:r w:rsidRPr="008D14C7">
        <w:rPr>
          <w:rFonts w:ascii="Times New Roman" w:hAnsi="Times New Roman" w:cs="Times New Roman"/>
          <w:sz w:val="24"/>
          <w:szCs w:val="24"/>
        </w:rPr>
        <w:t>заеми</w:t>
      </w:r>
      <w:r w:rsidRPr="008D14C7">
        <w:rPr>
          <w:rFonts w:ascii="Times New Roman" w:hAnsi="Times New Roman" w:cs="Times New Roman"/>
          <w:sz w:val="24"/>
          <w:szCs w:val="24"/>
          <w:lang w:val="bg-BG"/>
        </w:rPr>
        <w:t xml:space="preserve"> и лихвен суап</w:t>
      </w:r>
      <w:r w:rsidRPr="008D14C7">
        <w:rPr>
          <w:rFonts w:ascii="Times New Roman" w:hAnsi="Times New Roman" w:cs="Times New Roman"/>
          <w:sz w:val="24"/>
          <w:szCs w:val="24"/>
        </w:rPr>
        <w:t>, както и такси и другипрекиразходипо</w:t>
      </w:r>
      <w:r w:rsidRPr="008D14C7">
        <w:rPr>
          <w:rFonts w:ascii="Times New Roman" w:hAnsi="Times New Roman" w:cs="Times New Roman"/>
          <w:sz w:val="24"/>
          <w:szCs w:val="24"/>
          <w:lang w:val="bg-BG"/>
        </w:rPr>
        <w:t xml:space="preserve">банкови </w:t>
      </w:r>
      <w:r w:rsidRPr="008D14C7">
        <w:rPr>
          <w:rFonts w:ascii="Times New Roman" w:hAnsi="Times New Roman" w:cs="Times New Roman"/>
          <w:sz w:val="24"/>
          <w:szCs w:val="24"/>
        </w:rPr>
        <w:t>кредити, вкл. курсовиразлики.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Разходите по заеми, които могат пряко да се припишат на придобиването или строителството на актив, отговарящ на условията на МСС 23 Разходи по заеми, се капитализират в стойността на актива като част от неговата себестойност. Другите разходи по заеми се признават като разход в периода, за който се отнасят </w:t>
      </w:r>
    </w:p>
    <w:p w:rsidR="0081302E" w:rsidRPr="008D14C7" w:rsidRDefault="0081302E"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Доходи на персонала</w:t>
      </w:r>
    </w:p>
    <w:p w:rsidR="0081302E" w:rsidRPr="008D14C7" w:rsidRDefault="0081302E" w:rsidP="0081302E">
      <w:pPr>
        <w:rPr>
          <w:rFonts w:ascii="Times New Roman" w:hAnsi="Times New Roman" w:cs="Times New Roman"/>
          <w:sz w:val="24"/>
          <w:szCs w:val="24"/>
        </w:rPr>
      </w:pPr>
      <w:r w:rsidRPr="008D14C7">
        <w:rPr>
          <w:rFonts w:ascii="Times New Roman" w:hAnsi="Times New Roman" w:cs="Times New Roman"/>
          <w:sz w:val="24"/>
          <w:szCs w:val="24"/>
          <w:lang w:val="bg-BG"/>
        </w:rPr>
        <w:t>Трудовите и осигурителните отношения с работниците и служителите в дружеството се основават на разпоредбите на Кодекса на труда и действащото осигурително законодателство. Пенсионните и осигурителни планове, в които дружеството е страна в качеството му на работодател, се основават на българското законодателство.</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2.7.1 Краткосрочни доходи на персонала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Краткосрочните доходи на персонала включват заплати и възнаграждения, платен годишен отпуск и платен отпуск по болест, платими до една година от отчетната дата. Задължения за краткосрочни доходи на наети лица се отчитат като разход, когато свързаните с тях услуги са предоставени. Към датата на годишния финансов отчет, дружеството прави оценка на очакваните разходи по натрупващи се компенсируеми отпуски, които не са били използвани и които се очаква да бъдат изплатени. Оценката включва преценка за разходите за възнаграждения и разходите за вноски по задължително обществено и здравно осигуряване.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2.7.2 Планове с дефинирани вноски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Дружеството в качеството на работодател, извършва задължително осигуряване на наетия персонал за фонд „Пенсии“ и други осигурителни фондове. Размерите на осигурителните вноски се утвърждават ежегодно със Закона за държавния бюджет и Закона за бюджета на НЗОК. Тези осигурителни пенсионни вноски, извършвани от дружеството, в качеството му на работодател по своята същност са дефинирани вноски.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2.7.3. Доходи след приключване на трудовите правоотношения</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Дружеството има задължения за изплащане на доход при напускане на тези свои служители, които се пенсионират в съответствие с изискванията на чл. 222, § 3 от Кодекса на труда в България. </w:t>
      </w:r>
    </w:p>
    <w:p w:rsidR="0081302E" w:rsidRPr="008D14C7" w:rsidRDefault="0081302E"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Данъци върху дохода</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lastRenderedPageBreak/>
        <w:t>Съгласно закона за корпоративното подоходно облагане дружеството дължи корпоративен данък в размер 10 % върху облагаемата печалба. Дружеството  е приело да прилага балансовия метод на задълженията за отчитане на временните данъчни разлики, при който временните данъчни разлики се установяват чрез сравняване на балансовата стойност с данъчната основа на активите и пасивите. Отсрочените данъчни задължения да се признават при всички случаи на възникване, а отсрочените данъчни активи, само до степента, до която ръководството счита, че е сигурно, че дружеството ще реализира печалба, за да използва данъчния актив.</w:t>
      </w:r>
    </w:p>
    <w:p w:rsidR="0081302E" w:rsidRPr="008D14C7" w:rsidRDefault="0081302E"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 xml:space="preserve">Нетна печалба на акция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Дружеството изчислява основната нетна печалба на акция, съответстваща на печалбата или загубата, подлежащи на разпределение между притежателите на обикновени акции. Основната нетна печалба на акция се изчислява като се раздели печалбата или загубата за периода, подлежаща на разпределение между притежателите на акции (числител) на средно претегления брой на държаните обикновени акции за периода (знаменател).</w:t>
      </w:r>
    </w:p>
    <w:p w:rsidR="0081302E" w:rsidRPr="008D14C7" w:rsidRDefault="0081302E" w:rsidP="0081302E">
      <w:pPr>
        <w:rPr>
          <w:rFonts w:ascii="Times New Roman" w:hAnsi="Times New Roman" w:cs="Times New Roman"/>
          <w:sz w:val="24"/>
          <w:szCs w:val="24"/>
          <w:lang w:val="bg-BG"/>
        </w:rPr>
      </w:pPr>
    </w:p>
    <w:p w:rsidR="0081302E" w:rsidRPr="008D14C7" w:rsidRDefault="0081302E"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Имоти, машини и съоръжения</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Наличните нетекущи активи на дружеството – имоти, съоръжения, оборудване и инвентар се отчитат и представят във финансовия отчет по цена на придобиване, намалена  с натрупаната амортизация.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Първоначално придобиване</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При първоначално придобиване имотите, машините, съоръженията и оборудването се оценяват по себестойност, която включва покупната цена, такси, лихви по банкови заеми и всички други преки разходи, необходими за привеждането на актива в състояние за употреба по предназначение.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Други преки разходи включват: разходи за подготовка на обекта, разходи по първоначална доставка и обработка, разходи за монтаж, разходи за хонорари на лица, свързани с проекта, невъзстановими данъци и други.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Дружеството е определило стойностен праг от 700 лева, под който придобитите активи, независимо че притежават характеристики на дълготрайни материални активи, се отчитат като текущ разход.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Последващо оценяване</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Избраният от дружеството подход за последваща оценка на имотите, машините, съоръженията и оборудването се извършва по модела на цената на придобиване, намалена </w:t>
      </w:r>
      <w:r w:rsidRPr="008D14C7">
        <w:rPr>
          <w:rFonts w:ascii="Times New Roman" w:hAnsi="Times New Roman" w:cs="Times New Roman"/>
          <w:sz w:val="24"/>
          <w:szCs w:val="24"/>
          <w:lang w:val="bg-BG"/>
        </w:rPr>
        <w:lastRenderedPageBreak/>
        <w:t xml:space="preserve">с начислените амортизации и натрупаните загуби от обезценка съгласно изискванията на МСС 16 Имоти, машини и съоръжения.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Последващи разходи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Извършените последващи разходи, свързани с имоти, машини, съоръжения и оборудване, които имат характер на подобрения и реконструкция се капитализират към стойността на съответния актив.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Амортизация</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Амортизацията се начислява в отчета за печалбата или загубата и другия всеобхватен доход на база линеен метод за очаквания срок на полезен живот на имоти, машини, съоръжения и оборудване. Очакваният полезен живот на имоти, машини, съоръжения и оброрудване и стопански инвентар е както следва:</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Компютърна техника – 2 години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Машини и оборудване – 3 години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Стопански инвентар и други активи – 7 години</w:t>
      </w:r>
    </w:p>
    <w:p w:rsidR="0081302E" w:rsidRPr="008D14C7" w:rsidRDefault="0081302E"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Инвестиционни имоти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Дружеството отчита инвестиционни имоти, съгласно МСС 40. Инвестиционни са имотите, държани за получаване на приходи от наеми или за увеличаване стойността на капитала, или и за двете. Инвестиционните имоти се оценяват първоначално по цена на придобиване, включително разходите по сделката. Разходите за подмяна на части от инвестиционен имот се включват в неговата балансова стойност когато тези разходи бъдат извършени и при условие, че отговарят на критериите за признаване на инвестиционен имот.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След първоначалното признаване инвестиционните имоти се отчитат по </w:t>
      </w:r>
      <w:r w:rsidR="00A950F2" w:rsidRPr="008D14C7">
        <w:rPr>
          <w:rFonts w:ascii="Times New Roman" w:hAnsi="Times New Roman" w:cs="Times New Roman"/>
          <w:sz w:val="24"/>
          <w:szCs w:val="24"/>
          <w:lang w:val="bg-BG"/>
        </w:rPr>
        <w:t xml:space="preserve">модела </w:t>
      </w:r>
      <w:r w:rsidRPr="008D14C7">
        <w:rPr>
          <w:rFonts w:ascii="Times New Roman" w:hAnsi="Times New Roman" w:cs="Times New Roman"/>
          <w:sz w:val="24"/>
          <w:szCs w:val="24"/>
          <w:lang w:val="bg-BG"/>
        </w:rPr>
        <w:t>цена на придобиване</w:t>
      </w:r>
      <w:r w:rsidR="00A950F2" w:rsidRPr="008D14C7">
        <w:rPr>
          <w:rFonts w:ascii="Times New Roman" w:hAnsi="Times New Roman" w:cs="Times New Roman"/>
          <w:sz w:val="24"/>
          <w:szCs w:val="24"/>
          <w:lang w:val="bg-BG"/>
        </w:rPr>
        <w:t>, съгласно параграф 56 от МСС 40</w:t>
      </w:r>
      <w:r w:rsidRPr="008D14C7">
        <w:rPr>
          <w:rFonts w:ascii="Times New Roman" w:hAnsi="Times New Roman" w:cs="Times New Roman"/>
          <w:sz w:val="24"/>
          <w:szCs w:val="24"/>
          <w:lang w:val="bg-BG"/>
        </w:rPr>
        <w:t>.</w:t>
      </w:r>
    </w:p>
    <w:p w:rsidR="0081302E" w:rsidRDefault="0081302E" w:rsidP="0081302E">
      <w:pPr>
        <w:rPr>
          <w:rFonts w:ascii="Times New Roman" w:hAnsi="Times New Roman" w:cs="Times New Roman"/>
          <w:sz w:val="24"/>
          <w:szCs w:val="24"/>
        </w:rPr>
      </w:pPr>
      <w:r w:rsidRPr="008D14C7">
        <w:rPr>
          <w:rFonts w:ascii="Times New Roman" w:hAnsi="Times New Roman" w:cs="Times New Roman"/>
          <w:sz w:val="24"/>
          <w:szCs w:val="24"/>
          <w:lang w:val="bg-BG"/>
        </w:rPr>
        <w:t xml:space="preserve">Дружеството прилага линеен метод на амортизация за своите инвестиционни имоти. </w:t>
      </w:r>
      <w:r w:rsidR="004B4985" w:rsidRPr="008D14C7">
        <w:rPr>
          <w:rFonts w:ascii="Times New Roman" w:hAnsi="Times New Roman" w:cs="Times New Roman"/>
          <w:sz w:val="24"/>
          <w:szCs w:val="24"/>
          <w:lang w:val="bg-BG"/>
        </w:rPr>
        <w:t>Ръководството на дружеството е определило очакван полезен срок за използване на инвестиционните си имоти</w:t>
      </w:r>
      <w:r w:rsidR="00A950F2" w:rsidRPr="008D14C7">
        <w:rPr>
          <w:rFonts w:ascii="Times New Roman" w:hAnsi="Times New Roman" w:cs="Times New Roman"/>
          <w:sz w:val="24"/>
          <w:szCs w:val="24"/>
          <w:lang w:val="bg-BG"/>
        </w:rPr>
        <w:t>, който считано от 01.01.2018 г. е следния</w:t>
      </w:r>
      <w:r w:rsidR="003033B1">
        <w:rPr>
          <w:rFonts w:ascii="Times New Roman" w:hAnsi="Times New Roman" w:cs="Times New Roman"/>
          <w:sz w:val="24"/>
          <w:szCs w:val="24"/>
        </w:rPr>
        <w:t>:</w:t>
      </w:r>
    </w:p>
    <w:p w:rsidR="003033B1" w:rsidRPr="003033B1" w:rsidRDefault="003033B1" w:rsidP="0081302E">
      <w:pPr>
        <w:rPr>
          <w:rFonts w:ascii="Times New Roman" w:hAnsi="Times New Roman" w:cs="Times New Roman"/>
          <w:sz w:val="24"/>
          <w:szCs w:val="24"/>
          <w:lang w:val="bg-BG"/>
        </w:rPr>
      </w:pPr>
      <w:r>
        <w:rPr>
          <w:rFonts w:ascii="Times New Roman" w:hAnsi="Times New Roman" w:cs="Times New Roman"/>
          <w:sz w:val="24"/>
          <w:szCs w:val="24"/>
          <w:lang w:val="bg-BG"/>
        </w:rPr>
        <w:t>Инвестиционни имоти: сгради  - 100 години</w:t>
      </w:r>
    </w:p>
    <w:p w:rsidR="0081302E" w:rsidRPr="008D14C7" w:rsidRDefault="0081302E" w:rsidP="0081302E">
      <w:pPr>
        <w:rPr>
          <w:rFonts w:ascii="Times New Roman" w:hAnsi="Times New Roman" w:cs="Times New Roman"/>
          <w:sz w:val="24"/>
          <w:szCs w:val="24"/>
          <w:highlight w:val="yellow"/>
          <w:lang w:val="bg-BG"/>
        </w:rPr>
      </w:pPr>
    </w:p>
    <w:p w:rsidR="0081302E" w:rsidRPr="008D14C7" w:rsidRDefault="0081302E"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Активи в процес на изграждане</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lastRenderedPageBreak/>
        <w:t xml:space="preserve">Дружеството отчита като активи в процес на изграждане направените разходи по привеждането на даден актив в състояние, готов за експлоатация или продажба. Капитализираните разходи включват административни такси за получаване на разрешения, строително-монтажни работи, проектиране, архитектурни и строителни планове, лихви по целеви банкови заеми и всички други преки разходи. Активите в процес на изграждане се класифицират като нетекущи активи. При въвеждането им в експлоатация се рекласифицират като материални запаси – стоки за продажба.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Обезценка на активи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В края на всеки отчетен период дружеството прави преглед на балансовите стойности на материалните, за да определи дали има някаква индикация, че за тези активи е налице загуба от обезценка. В случай, че такива индикации са налице предприятието прави формална оценка възстановимата стойност на актива, вземайки предвид външни и вътрешни източници на информация, за да се определи степента на загуба от обезценката.</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Възстановимата сума е по-високата от справедливата стойност, намалена с разходите по продажбата и стойността в употреба. Ако възстановимата стойност на даден актив се очаква да бъде по-малка от неговата балансова стойност, балансовата стойност се намалява до неговата възстановима стойност. Загуба от обезценка се признава незабавно в печалба или загуба, освен ако съответният актив се оценява по преоценена стойност, в който случай забута от обезценка се третира като намаление от преоценка. </w:t>
      </w:r>
    </w:p>
    <w:p w:rsidR="0081302E" w:rsidRPr="008D14C7" w:rsidRDefault="0081302E"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Материални запаси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Материалните запаси се представят във финансовия отчет по по-ниската от стойността на придобиване и нетната реализуема стойност. Нетната реализуема стойност е очакваната продажна цена в нормална бизнес среда, намалена със стойността на разходите за довършителни дейности и разходи по продажбата. Определя се на база проучвания на пазара и експертна оценка. Цената на придобиване на материалните запаси включва разходи за придобиване и разходи, направени във връзка с доставянето им до определено местоположение и подготовката има за употреба. Изписването на материални запаси е по метода на конкретна идентификация на себестойността. </w:t>
      </w:r>
    </w:p>
    <w:p w:rsidR="0081302E" w:rsidRPr="008D14C7" w:rsidRDefault="0081302E"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Парични средства и парични еквиваленти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Паричните средства и парични еквиваленти се състоят от парични наличности в каса, парични наличности в банкови сметки и краткосрочните депозити в банки. За целите на изготвянето на Отчета за паричните потоци:</w:t>
      </w:r>
    </w:p>
    <w:p w:rsidR="00A950F2" w:rsidRPr="008D14C7" w:rsidRDefault="0081302E" w:rsidP="00A950F2">
      <w:pPr>
        <w:ind w:firstLine="720"/>
        <w:jc w:val="both"/>
        <w:rPr>
          <w:rFonts w:ascii="Times New Roman" w:hAnsi="Times New Roman" w:cs="Times New Roman"/>
          <w:sz w:val="24"/>
          <w:szCs w:val="24"/>
          <w:lang w:val="ru-RU"/>
        </w:rPr>
      </w:pPr>
      <w:r w:rsidRPr="008D14C7">
        <w:rPr>
          <w:rFonts w:ascii="Times New Roman" w:hAnsi="Times New Roman" w:cs="Times New Roman"/>
          <w:sz w:val="24"/>
          <w:szCs w:val="24"/>
          <w:lang w:val="bg-BG"/>
        </w:rPr>
        <w:t>Парични постъпления от клиенти и паричните плащания към доставчици, включително плащания, свързани с имоти, машини</w:t>
      </w:r>
      <w:r w:rsidR="00A950F2" w:rsidRPr="008D14C7">
        <w:rPr>
          <w:rFonts w:ascii="Times New Roman" w:hAnsi="Times New Roman" w:cs="Times New Roman"/>
          <w:sz w:val="24"/>
          <w:szCs w:val="24"/>
        </w:rPr>
        <w:t>q</w:t>
      </w:r>
      <w:r w:rsidRPr="008D14C7">
        <w:rPr>
          <w:rFonts w:ascii="Times New Roman" w:hAnsi="Times New Roman" w:cs="Times New Roman"/>
          <w:sz w:val="24"/>
          <w:szCs w:val="24"/>
          <w:lang w:val="bg-BG"/>
        </w:rPr>
        <w:t xml:space="preserve"> съоръжения</w:t>
      </w:r>
      <w:r w:rsidR="00A950F2" w:rsidRPr="008D14C7">
        <w:rPr>
          <w:rFonts w:ascii="Times New Roman" w:hAnsi="Times New Roman" w:cs="Times New Roman"/>
          <w:sz w:val="24"/>
          <w:szCs w:val="24"/>
          <w:lang w:val="bg-BG"/>
        </w:rPr>
        <w:t xml:space="preserve"> и активи в процес на изграждане</w:t>
      </w:r>
      <w:r w:rsidRPr="008D14C7">
        <w:rPr>
          <w:rFonts w:ascii="Times New Roman" w:hAnsi="Times New Roman" w:cs="Times New Roman"/>
          <w:sz w:val="24"/>
          <w:szCs w:val="24"/>
          <w:lang w:val="bg-BG"/>
        </w:rPr>
        <w:t>, са представени брутно с включен ДДС (20%)</w:t>
      </w:r>
      <w:r w:rsidR="00A950F2" w:rsidRPr="008D14C7">
        <w:rPr>
          <w:rFonts w:ascii="Times New Roman" w:hAnsi="Times New Roman" w:cs="Times New Roman"/>
          <w:sz w:val="24"/>
          <w:szCs w:val="24"/>
          <w:lang w:val="bg-BG"/>
        </w:rPr>
        <w:t xml:space="preserve">. Платеният ДДС свързан с </w:t>
      </w:r>
      <w:r w:rsidR="00A950F2" w:rsidRPr="008D14C7">
        <w:rPr>
          <w:rFonts w:ascii="Times New Roman" w:hAnsi="Times New Roman" w:cs="Times New Roman"/>
          <w:sz w:val="24"/>
          <w:szCs w:val="24"/>
          <w:lang w:val="bg-BG"/>
        </w:rPr>
        <w:lastRenderedPageBreak/>
        <w:t>дълготрайни материални активи и активи в процес на изграждане се посочва на ред “плащания към доставчици” към паричните потоци от оперативна дейност, доколкото той участва и се възстановява заедно и в оперативните потоци на дружеството за съответния период (месец).</w:t>
      </w:r>
    </w:p>
    <w:p w:rsidR="0081302E" w:rsidRPr="008D14C7" w:rsidRDefault="0081302E" w:rsidP="008D14C7">
      <w:pPr>
        <w:pStyle w:val="ListParagraph"/>
        <w:ind w:left="0"/>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Плащанията, свързани с местни данъци и такси се представят в </w:t>
      </w:r>
      <w:r w:rsidR="00A950F2" w:rsidRPr="008D14C7">
        <w:rPr>
          <w:rFonts w:ascii="Times New Roman" w:hAnsi="Times New Roman" w:cs="Times New Roman"/>
          <w:sz w:val="24"/>
          <w:szCs w:val="24"/>
          <w:lang w:val="bg-BG"/>
        </w:rPr>
        <w:t xml:space="preserve">паричния поток от </w:t>
      </w:r>
      <w:r w:rsidRPr="008D14C7">
        <w:rPr>
          <w:rFonts w:ascii="Times New Roman" w:hAnsi="Times New Roman" w:cs="Times New Roman"/>
          <w:sz w:val="24"/>
          <w:szCs w:val="24"/>
          <w:lang w:val="bg-BG"/>
        </w:rPr>
        <w:t>оперативна</w:t>
      </w:r>
      <w:r w:rsidRPr="008D14C7">
        <w:rPr>
          <w:rFonts w:ascii="Times New Roman" w:hAnsi="Times New Roman" w:cs="Times New Roman"/>
          <w:sz w:val="24"/>
          <w:szCs w:val="24"/>
        </w:rPr>
        <w:t>.</w:t>
      </w:r>
    </w:p>
    <w:p w:rsidR="0081302E" w:rsidRPr="008D14C7" w:rsidRDefault="0081302E" w:rsidP="0081302E">
      <w:pPr>
        <w:rPr>
          <w:rFonts w:ascii="Times New Roman" w:hAnsi="Times New Roman" w:cs="Times New Roman"/>
          <w:sz w:val="24"/>
          <w:szCs w:val="24"/>
          <w:lang w:val="bg-BG"/>
        </w:rPr>
      </w:pPr>
    </w:p>
    <w:p w:rsidR="00764346" w:rsidRPr="008D14C7" w:rsidRDefault="00764346" w:rsidP="0081302E">
      <w:pPr>
        <w:rPr>
          <w:rFonts w:ascii="Times New Roman" w:hAnsi="Times New Roman" w:cs="Times New Roman"/>
          <w:sz w:val="24"/>
          <w:szCs w:val="24"/>
          <w:lang w:val="bg-BG"/>
        </w:rPr>
      </w:pPr>
    </w:p>
    <w:p w:rsidR="00764346" w:rsidRPr="008D14C7" w:rsidRDefault="00764346" w:rsidP="0081302E">
      <w:pPr>
        <w:rPr>
          <w:rFonts w:ascii="Times New Roman" w:hAnsi="Times New Roman" w:cs="Times New Roman"/>
          <w:sz w:val="24"/>
          <w:szCs w:val="24"/>
          <w:lang w:val="bg-BG"/>
        </w:rPr>
      </w:pPr>
    </w:p>
    <w:p w:rsidR="00764346" w:rsidRPr="008D14C7" w:rsidRDefault="00764346" w:rsidP="00033231">
      <w:pPr>
        <w:spacing w:line="360" w:lineRule="auto"/>
        <w:ind w:right="-279"/>
        <w:jc w:val="both"/>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Съставител:................................                               </w:t>
      </w:r>
      <w:r w:rsidR="00033231">
        <w:rPr>
          <w:rFonts w:ascii="Times New Roman" w:hAnsi="Times New Roman" w:cs="Times New Roman"/>
          <w:sz w:val="24"/>
          <w:szCs w:val="24"/>
          <w:lang w:val="bg-BG"/>
        </w:rPr>
        <w:t xml:space="preserve">Изпълнителен </w:t>
      </w:r>
      <w:r w:rsidRPr="008D14C7">
        <w:rPr>
          <w:rFonts w:ascii="Times New Roman" w:hAnsi="Times New Roman" w:cs="Times New Roman"/>
          <w:sz w:val="24"/>
          <w:szCs w:val="24"/>
          <w:lang w:val="bg-BG"/>
        </w:rPr>
        <w:t>директор:.................................</w:t>
      </w:r>
    </w:p>
    <w:p w:rsidR="00764346" w:rsidRPr="008D14C7" w:rsidRDefault="00764346" w:rsidP="00764346">
      <w:pPr>
        <w:spacing w:line="360" w:lineRule="auto"/>
        <w:jc w:val="both"/>
        <w:rPr>
          <w:rFonts w:ascii="Times New Roman" w:hAnsi="Times New Roman" w:cs="Times New Roman"/>
          <w:sz w:val="24"/>
          <w:szCs w:val="24"/>
          <w:lang w:val="bg-BG"/>
        </w:rPr>
      </w:pPr>
      <w:r w:rsidRPr="008D14C7">
        <w:rPr>
          <w:rFonts w:ascii="Times New Roman" w:hAnsi="Times New Roman" w:cs="Times New Roman"/>
          <w:sz w:val="24"/>
          <w:szCs w:val="24"/>
          <w:lang w:val="bg-BG"/>
        </w:rPr>
        <w:tab/>
      </w:r>
      <w:r w:rsidRPr="008D14C7">
        <w:rPr>
          <w:rFonts w:ascii="Times New Roman" w:hAnsi="Times New Roman" w:cs="Times New Roman"/>
          <w:sz w:val="24"/>
          <w:szCs w:val="24"/>
          <w:lang w:val="bg-BG"/>
        </w:rPr>
        <w:tab/>
        <w:t>(Лидия Герджикова)</w:t>
      </w:r>
      <w:r w:rsidRPr="008D14C7">
        <w:rPr>
          <w:rFonts w:ascii="Times New Roman" w:hAnsi="Times New Roman" w:cs="Times New Roman"/>
          <w:sz w:val="24"/>
          <w:szCs w:val="24"/>
          <w:lang w:val="bg-BG"/>
        </w:rPr>
        <w:tab/>
      </w:r>
      <w:r w:rsidRPr="008D14C7">
        <w:rPr>
          <w:rFonts w:ascii="Times New Roman" w:hAnsi="Times New Roman" w:cs="Times New Roman"/>
          <w:sz w:val="24"/>
          <w:szCs w:val="24"/>
          <w:lang w:val="bg-BG"/>
        </w:rPr>
        <w:tab/>
      </w:r>
      <w:r w:rsidRPr="008D14C7">
        <w:rPr>
          <w:rFonts w:ascii="Times New Roman" w:hAnsi="Times New Roman" w:cs="Times New Roman"/>
          <w:sz w:val="24"/>
          <w:szCs w:val="24"/>
          <w:lang w:val="bg-BG"/>
        </w:rPr>
        <w:tab/>
      </w:r>
      <w:r w:rsidRPr="008D14C7">
        <w:rPr>
          <w:rFonts w:ascii="Times New Roman" w:hAnsi="Times New Roman" w:cs="Times New Roman"/>
          <w:sz w:val="24"/>
          <w:szCs w:val="24"/>
          <w:lang w:val="bg-BG"/>
        </w:rPr>
        <w:tab/>
      </w:r>
      <w:r w:rsidRPr="008D14C7">
        <w:rPr>
          <w:rFonts w:ascii="Times New Roman" w:hAnsi="Times New Roman" w:cs="Times New Roman"/>
          <w:sz w:val="24"/>
          <w:szCs w:val="24"/>
          <w:lang w:val="bg-BG"/>
        </w:rPr>
        <w:tab/>
        <w:t>(Михаил Терианос)</w:t>
      </w:r>
    </w:p>
    <w:p w:rsidR="0081302E" w:rsidRPr="0081302E" w:rsidRDefault="0081302E" w:rsidP="0081302E">
      <w:pPr>
        <w:rPr>
          <w:rFonts w:asciiTheme="majorHAnsi" w:hAnsiTheme="majorHAnsi"/>
          <w:sz w:val="20"/>
          <w:szCs w:val="20"/>
        </w:rPr>
      </w:pPr>
    </w:p>
    <w:p w:rsidR="000B60D7" w:rsidRDefault="00F00BC2"/>
    <w:sectPr w:rsidR="000B60D7" w:rsidSect="00F25F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80C0F"/>
    <w:multiLevelType w:val="hybridMultilevel"/>
    <w:tmpl w:val="1CAC6E26"/>
    <w:lvl w:ilvl="0" w:tplc="E21AB4E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C11E28"/>
    <w:multiLevelType w:val="hybridMultilevel"/>
    <w:tmpl w:val="DA66048E"/>
    <w:lvl w:ilvl="0" w:tplc="74161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005419"/>
    <w:multiLevelType w:val="multilevel"/>
    <w:tmpl w:val="FAD696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enchev">
    <w15:presenceInfo w15:providerId="None" w15:userId="Trenchev"/>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81302E"/>
    <w:rsid w:val="00033231"/>
    <w:rsid w:val="002E01C3"/>
    <w:rsid w:val="003033B1"/>
    <w:rsid w:val="00317EE2"/>
    <w:rsid w:val="00362C35"/>
    <w:rsid w:val="003918C1"/>
    <w:rsid w:val="003B4161"/>
    <w:rsid w:val="004B4985"/>
    <w:rsid w:val="004C45A5"/>
    <w:rsid w:val="005C538D"/>
    <w:rsid w:val="005D7374"/>
    <w:rsid w:val="006E3700"/>
    <w:rsid w:val="00764346"/>
    <w:rsid w:val="00801D03"/>
    <w:rsid w:val="0081302E"/>
    <w:rsid w:val="00856748"/>
    <w:rsid w:val="008D14C7"/>
    <w:rsid w:val="00957D2B"/>
    <w:rsid w:val="00A12BA5"/>
    <w:rsid w:val="00A35F18"/>
    <w:rsid w:val="00A4715F"/>
    <w:rsid w:val="00A950F2"/>
    <w:rsid w:val="00BF745C"/>
    <w:rsid w:val="00C23E89"/>
    <w:rsid w:val="00C92F90"/>
    <w:rsid w:val="00DA62EE"/>
    <w:rsid w:val="00DE25F2"/>
    <w:rsid w:val="00F00BC2"/>
    <w:rsid w:val="00F25FCA"/>
    <w:rsid w:val="00F45C1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02E"/>
    <w:pPr>
      <w:ind w:left="720"/>
      <w:contextualSpacing/>
    </w:pPr>
  </w:style>
  <w:style w:type="paragraph" w:styleId="BodyTextIndent">
    <w:name w:val="Body Text Indent"/>
    <w:basedOn w:val="Normal"/>
    <w:link w:val="BodyTextIndentChar"/>
    <w:rsid w:val="0081302E"/>
    <w:pPr>
      <w:spacing w:after="0" w:line="240" w:lineRule="auto"/>
      <w:ind w:firstLine="720"/>
    </w:pPr>
    <w:rPr>
      <w:rFonts w:ascii="Times New Roman" w:eastAsia="Times New Roman" w:hAnsi="Times New Roman" w:cs="Times New Roman"/>
      <w:sz w:val="24"/>
      <w:szCs w:val="20"/>
      <w:lang w:val="bg-BG" w:eastAsia="bg-BG"/>
    </w:rPr>
  </w:style>
  <w:style w:type="character" w:customStyle="1" w:styleId="BodyTextIndentChar">
    <w:name w:val="Body Text Indent Char"/>
    <w:basedOn w:val="DefaultParagraphFont"/>
    <w:link w:val="BodyTextIndent"/>
    <w:rsid w:val="0081302E"/>
    <w:rPr>
      <w:rFonts w:ascii="Times New Roman" w:eastAsia="Times New Roman" w:hAnsi="Times New Roman" w:cs="Times New Roman"/>
      <w:sz w:val="24"/>
      <w:szCs w:val="20"/>
      <w:lang w:val="bg-BG" w:eastAsia="bg-BG"/>
    </w:rPr>
  </w:style>
  <w:style w:type="paragraph" w:styleId="BalloonText">
    <w:name w:val="Balloon Text"/>
    <w:basedOn w:val="Normal"/>
    <w:link w:val="BalloonTextChar"/>
    <w:uiPriority w:val="99"/>
    <w:semiHidden/>
    <w:unhideWhenUsed/>
    <w:rsid w:val="004C4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5A5"/>
    <w:rPr>
      <w:rFonts w:ascii="Segoe UI" w:hAnsi="Segoe UI" w:cs="Segoe UI"/>
      <w:sz w:val="18"/>
      <w:szCs w:val="18"/>
    </w:rPr>
  </w:style>
  <w:style w:type="paragraph" w:customStyle="1" w:styleId="Default">
    <w:name w:val="Default"/>
    <w:rsid w:val="004C45A5"/>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styleId="BodyTextIndent2">
    <w:name w:val="Body Text Indent 2"/>
    <w:basedOn w:val="Normal"/>
    <w:link w:val="BodyTextIndent2Char"/>
    <w:uiPriority w:val="99"/>
    <w:semiHidden/>
    <w:unhideWhenUsed/>
    <w:rsid w:val="00BF745C"/>
    <w:pPr>
      <w:spacing w:after="120" w:line="480" w:lineRule="auto"/>
      <w:ind w:left="283"/>
    </w:pPr>
  </w:style>
  <w:style w:type="character" w:customStyle="1" w:styleId="BodyTextIndent2Char">
    <w:name w:val="Body Text Indent 2 Char"/>
    <w:basedOn w:val="DefaultParagraphFont"/>
    <w:link w:val="BodyTextIndent2"/>
    <w:uiPriority w:val="99"/>
    <w:semiHidden/>
    <w:rsid w:val="00BF74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02E"/>
    <w:pPr>
      <w:ind w:left="720"/>
      <w:contextualSpacing/>
    </w:pPr>
  </w:style>
  <w:style w:type="paragraph" w:styleId="BodyTextIndent">
    <w:name w:val="Body Text Indent"/>
    <w:basedOn w:val="Normal"/>
    <w:link w:val="BodyTextIndentChar"/>
    <w:rsid w:val="0081302E"/>
    <w:pPr>
      <w:spacing w:after="0" w:line="240" w:lineRule="auto"/>
      <w:ind w:firstLine="720"/>
    </w:pPr>
    <w:rPr>
      <w:rFonts w:ascii="Times New Roman" w:eastAsia="Times New Roman" w:hAnsi="Times New Roman" w:cs="Times New Roman"/>
      <w:sz w:val="24"/>
      <w:szCs w:val="20"/>
      <w:lang w:val="bg-BG" w:eastAsia="bg-BG"/>
    </w:rPr>
  </w:style>
  <w:style w:type="character" w:customStyle="1" w:styleId="BodyTextIndentChar">
    <w:name w:val="Body Text Indent Char"/>
    <w:basedOn w:val="DefaultParagraphFont"/>
    <w:link w:val="BodyTextIndent"/>
    <w:rsid w:val="0081302E"/>
    <w:rPr>
      <w:rFonts w:ascii="Times New Roman" w:eastAsia="Times New Roman" w:hAnsi="Times New Roman" w:cs="Times New Roman"/>
      <w:sz w:val="24"/>
      <w:szCs w:val="20"/>
      <w:lang w:val="bg-BG" w:eastAsia="bg-BG"/>
    </w:rPr>
  </w:style>
  <w:style w:type="paragraph" w:styleId="BalloonText">
    <w:name w:val="Balloon Text"/>
    <w:basedOn w:val="Normal"/>
    <w:link w:val="BalloonTextChar"/>
    <w:uiPriority w:val="99"/>
    <w:semiHidden/>
    <w:unhideWhenUsed/>
    <w:rsid w:val="004C4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5A5"/>
    <w:rPr>
      <w:rFonts w:ascii="Segoe UI" w:hAnsi="Segoe UI" w:cs="Segoe UI"/>
      <w:sz w:val="18"/>
      <w:szCs w:val="18"/>
    </w:rPr>
  </w:style>
  <w:style w:type="paragraph" w:customStyle="1" w:styleId="Default">
    <w:name w:val="Default"/>
    <w:rsid w:val="004C45A5"/>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styleId="BodyTextIndent2">
    <w:name w:val="Body Text Indent 2"/>
    <w:basedOn w:val="Normal"/>
    <w:link w:val="BodyTextIndent2Char"/>
    <w:uiPriority w:val="99"/>
    <w:semiHidden/>
    <w:unhideWhenUsed/>
    <w:rsid w:val="00BF745C"/>
    <w:pPr>
      <w:spacing w:after="120" w:line="480" w:lineRule="auto"/>
      <w:ind w:left="283"/>
    </w:pPr>
  </w:style>
  <w:style w:type="character" w:customStyle="1" w:styleId="BodyTextIndent2Char">
    <w:name w:val="Body Text Indent 2 Char"/>
    <w:basedOn w:val="DefaultParagraphFont"/>
    <w:link w:val="BodyTextIndent2"/>
    <w:uiPriority w:val="99"/>
    <w:semiHidden/>
    <w:rsid w:val="00BF745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D002-0C1B-4D7D-9863-E80BFF3C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2995</Words>
  <Characters>17074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Euroterra</dc:creator>
  <cp:lastModifiedBy>euroterra</cp:lastModifiedBy>
  <cp:revision>4</cp:revision>
  <dcterms:created xsi:type="dcterms:W3CDTF">2019-10-17T09:35:00Z</dcterms:created>
  <dcterms:modified xsi:type="dcterms:W3CDTF">2019-10-18T08:34:00Z</dcterms:modified>
</cp:coreProperties>
</file>