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8427" w14:textId="77777777" w:rsidR="00D43EFE" w:rsidRPr="00285774" w:rsidRDefault="00D43EFE" w:rsidP="00D43EFE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МЕЖДИНЕН ДОКЛАД ЗА ДЕЙНОСТТА НА „РИЪЛ БУЛЛЕНД” АД</w:t>
      </w:r>
    </w:p>
    <w:p w14:paraId="139DB512" w14:textId="0FB993E1" w:rsidR="00D43EFE" w:rsidRPr="00285774" w:rsidRDefault="00D43EFE" w:rsidP="00D43EFE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ЗА ПЕРИОДА 01.01.20</w:t>
      </w:r>
      <w:r w:rsidR="00B44A7B">
        <w:rPr>
          <w:rFonts w:ascii="Calibri" w:hAnsi="Calibri" w:cs="Calibri"/>
          <w:b/>
          <w:sz w:val="22"/>
          <w:szCs w:val="22"/>
          <w:lang w:val="ru-RU" w:eastAsia="bg-BG"/>
        </w:rPr>
        <w:t>2</w:t>
      </w:r>
      <w:r w:rsidR="00F83801">
        <w:rPr>
          <w:rFonts w:ascii="Calibri" w:hAnsi="Calibri" w:cs="Calibri"/>
          <w:b/>
          <w:sz w:val="22"/>
          <w:szCs w:val="22"/>
          <w:lang w:val="ru-RU" w:eastAsia="bg-BG"/>
        </w:rPr>
        <w:t>6</w:t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 xml:space="preserve"> Г. - </w:t>
      </w:r>
      <w:r w:rsidR="00EA1F0D" w:rsidRPr="00D37BC0">
        <w:rPr>
          <w:rFonts w:ascii="Calibri" w:hAnsi="Calibri" w:cs="Calibri"/>
          <w:b/>
          <w:sz w:val="22"/>
          <w:szCs w:val="22"/>
          <w:lang w:val="ru-RU" w:eastAsia="bg-BG"/>
        </w:rPr>
        <w:t>31</w:t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.</w:t>
      </w:r>
      <w:r w:rsidR="00B44A7B">
        <w:rPr>
          <w:rFonts w:ascii="Calibri" w:hAnsi="Calibri" w:cs="Calibri"/>
          <w:b/>
          <w:sz w:val="22"/>
          <w:szCs w:val="22"/>
          <w:lang w:val="bg-BG" w:eastAsia="bg-BG"/>
        </w:rPr>
        <w:t>03</w:t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.20</w:t>
      </w:r>
      <w:r w:rsidR="00494780" w:rsidRPr="00285774">
        <w:rPr>
          <w:rFonts w:ascii="Calibri" w:hAnsi="Calibri" w:cs="Calibri"/>
          <w:b/>
          <w:sz w:val="22"/>
          <w:szCs w:val="22"/>
          <w:lang w:val="ru-RU" w:eastAsia="bg-BG"/>
        </w:rPr>
        <w:t>2</w:t>
      </w:r>
      <w:r w:rsidR="00F83801">
        <w:rPr>
          <w:rFonts w:ascii="Calibri" w:hAnsi="Calibri" w:cs="Calibri"/>
          <w:b/>
          <w:sz w:val="22"/>
          <w:szCs w:val="22"/>
          <w:lang w:val="ru-RU" w:eastAsia="bg-BG"/>
        </w:rPr>
        <w:t>6</w:t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 xml:space="preserve"> Г.</w:t>
      </w:r>
    </w:p>
    <w:p w14:paraId="24383268" w14:textId="77777777" w:rsidR="00D43EFE" w:rsidRPr="00285774" w:rsidRDefault="00D43EFE">
      <w:pPr>
        <w:rPr>
          <w:rFonts w:ascii="Calibri" w:hAnsi="Calibri" w:cs="Calibri"/>
          <w:lang w:val="ru-RU"/>
        </w:rPr>
      </w:pPr>
    </w:p>
    <w:p w14:paraId="1AF28278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lang w:val="bg-BG" w:eastAsia="bg-BG"/>
        </w:rPr>
        <w:t>"Риъл Булленд" АД е акционерно дружество, учредено по реда на чл. 163 от Търговския закон на 07.02.2013 г.,</w:t>
      </w:r>
      <w:r w:rsidRPr="00285774">
        <w:rPr>
          <w:rFonts w:ascii="Calibri" w:hAnsi="Calibri" w:cs="Calibri"/>
          <w:sz w:val="22"/>
          <w:szCs w:val="22"/>
          <w:lang w:val="ru-RU" w:eastAsia="bg-BG"/>
        </w:rPr>
        <w:t xml:space="preserve"> </w:t>
      </w:r>
      <w:r w:rsidRPr="00285774">
        <w:rPr>
          <w:rFonts w:ascii="Calibri" w:hAnsi="Calibri" w:cs="Calibri"/>
          <w:sz w:val="22"/>
          <w:szCs w:val="22"/>
          <w:lang w:val="bg-BG" w:eastAsia="bg-BG"/>
        </w:rPr>
        <w:t>вписано в Търговския регистър при Агенция по вписванията с ЕИК 202442058. Дружеството е публично по смисъла на чл.110 от ЗППЦК и е вписано в регистъра на КФН с Решение № 650-ПД от 15.08.2013 г.</w:t>
      </w:r>
    </w:p>
    <w:p w14:paraId="64840265" w14:textId="77777777" w:rsidR="00D35719" w:rsidRPr="00285774" w:rsidRDefault="00D35719" w:rsidP="00D43EFE">
      <w:pPr>
        <w:jc w:val="both"/>
        <w:rPr>
          <w:rFonts w:ascii="Calibri" w:hAnsi="Calibri" w:cs="Calibri"/>
          <w:sz w:val="22"/>
          <w:szCs w:val="22"/>
          <w:lang w:val="ru-RU" w:eastAsia="bg-BG"/>
        </w:rPr>
      </w:pPr>
    </w:p>
    <w:p w14:paraId="375CBD80" w14:textId="77777777" w:rsidR="00282E8C" w:rsidRPr="00282E8C" w:rsidRDefault="00D43EFE" w:rsidP="00D43EFE">
      <w:pPr>
        <w:jc w:val="both"/>
        <w:rPr>
          <w:rFonts w:ascii="Calibri" w:hAnsi="Calibri" w:cs="Calibri"/>
          <w:sz w:val="22"/>
          <w:szCs w:val="22"/>
          <w:u w:val="single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u w:val="single"/>
          <w:lang w:val="bg-BG" w:eastAsia="bg-BG"/>
        </w:rPr>
        <w:t>Седалище и адрес на управление - Република България - гр.</w:t>
      </w:r>
      <w:r w:rsidR="008162BA" w:rsidRPr="00285774">
        <w:rPr>
          <w:rFonts w:ascii="Calibri" w:hAnsi="Calibri" w:cs="Calibri"/>
          <w:sz w:val="22"/>
          <w:szCs w:val="22"/>
          <w:u w:val="single"/>
          <w:lang w:val="bg-BG" w:eastAsia="bg-BG"/>
        </w:rPr>
        <w:t xml:space="preserve"> </w:t>
      </w:r>
      <w:r w:rsidRPr="00285774">
        <w:rPr>
          <w:rFonts w:ascii="Calibri" w:hAnsi="Calibri" w:cs="Calibri"/>
          <w:sz w:val="22"/>
          <w:szCs w:val="22"/>
          <w:u w:val="single"/>
          <w:lang w:val="bg-BG" w:eastAsia="bg-BG"/>
        </w:rPr>
        <w:t xml:space="preserve">София - 1164, район </w:t>
      </w:r>
      <w:r w:rsidR="00282E8C" w:rsidRPr="00282E8C">
        <w:rPr>
          <w:rFonts w:ascii="Calibri" w:hAnsi="Calibri" w:cs="Calibri"/>
          <w:sz w:val="22"/>
          <w:szCs w:val="22"/>
          <w:u w:val="single"/>
          <w:lang w:val="bg-BG" w:eastAsia="bg-BG"/>
        </w:rPr>
        <w:t xml:space="preserve"> Триадица, ул. Алабин № 36, ет.4</w:t>
      </w:r>
    </w:p>
    <w:p w14:paraId="7BDEA50C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u w:val="single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u w:val="single"/>
          <w:lang w:val="bg-BG" w:eastAsia="bg-BG"/>
        </w:rPr>
        <w:t>Правна форма - Акционерно дружество</w:t>
      </w:r>
    </w:p>
    <w:p w14:paraId="276EBD7D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u w:val="single"/>
          <w:lang w:val="bg-BG" w:eastAsia="bg-BG"/>
        </w:rPr>
        <w:t>Законодателство, според което емитентът упражнява дейността си</w:t>
      </w:r>
      <w:r w:rsidRPr="00285774">
        <w:rPr>
          <w:rFonts w:ascii="Calibri" w:hAnsi="Calibri" w:cs="Calibri"/>
          <w:sz w:val="22"/>
          <w:szCs w:val="22"/>
          <w:lang w:val="bg-BG" w:eastAsia="bg-BG"/>
        </w:rPr>
        <w:t xml:space="preserve"> – българско</w:t>
      </w:r>
    </w:p>
    <w:p w14:paraId="5E682F43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u w:val="single"/>
          <w:lang w:val="bg-BG" w:eastAsia="bg-BG"/>
        </w:rPr>
        <w:t>Държава на регистрация</w:t>
      </w:r>
      <w:r w:rsidRPr="00285774">
        <w:rPr>
          <w:rFonts w:ascii="Calibri" w:hAnsi="Calibri" w:cs="Calibri"/>
          <w:sz w:val="22"/>
          <w:szCs w:val="22"/>
          <w:lang w:val="bg-BG" w:eastAsia="bg-BG"/>
        </w:rPr>
        <w:t xml:space="preserve"> – Република България</w:t>
      </w:r>
    </w:p>
    <w:p w14:paraId="5DEA08C9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u w:val="single"/>
          <w:lang w:val="bg-BG" w:eastAsia="bg-BG"/>
        </w:rPr>
        <w:t>Телефон</w:t>
      </w:r>
      <w:r w:rsidRPr="00285774">
        <w:rPr>
          <w:rFonts w:ascii="Calibri" w:hAnsi="Calibri" w:cs="Calibri"/>
          <w:sz w:val="22"/>
          <w:szCs w:val="22"/>
          <w:lang w:val="bg-BG" w:eastAsia="bg-BG"/>
        </w:rPr>
        <w:t xml:space="preserve"> – </w:t>
      </w:r>
      <w:r w:rsidR="00B8600A" w:rsidRPr="00285774">
        <w:rPr>
          <w:rFonts w:ascii="Calibri" w:hAnsi="Calibri" w:cs="Calibri"/>
          <w:sz w:val="22"/>
          <w:szCs w:val="22"/>
          <w:lang w:val="bg-BG" w:eastAsia="bg-BG"/>
        </w:rPr>
        <w:t>+359 88 8906450</w:t>
      </w:r>
    </w:p>
    <w:p w14:paraId="765FF2FD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u w:val="single"/>
          <w:lang w:val="bg-BG" w:eastAsia="bg-BG"/>
        </w:rPr>
        <w:t>Електронен адрес (e-mail)</w:t>
      </w:r>
      <w:r w:rsidRPr="00285774">
        <w:rPr>
          <w:rFonts w:ascii="Calibri" w:hAnsi="Calibri" w:cs="Calibri"/>
          <w:sz w:val="22"/>
          <w:szCs w:val="22"/>
          <w:lang w:val="bg-BG" w:eastAsia="bg-BG"/>
        </w:rPr>
        <w:t xml:space="preserve"> – office@realbulland.eu</w:t>
      </w:r>
    </w:p>
    <w:p w14:paraId="59F9CA4C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u w:val="single"/>
          <w:lang w:val="bg-BG" w:eastAsia="bg-BG"/>
        </w:rPr>
        <w:t>Електронна страница в Интернет (web-site) -</w:t>
      </w:r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285774">
        <w:rPr>
          <w:rFonts w:ascii="Calibri" w:hAnsi="Calibri" w:cs="Calibri"/>
          <w:sz w:val="22"/>
          <w:szCs w:val="22"/>
          <w:lang w:val="bg-BG" w:eastAsia="bg-BG"/>
        </w:rPr>
        <w:t xml:space="preserve">http://www.realbulland.eu </w:t>
      </w:r>
    </w:p>
    <w:p w14:paraId="5ED29F26" w14:textId="77777777" w:rsidR="00D43EFE" w:rsidRPr="00285774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lang w:val="ru-RU" w:eastAsia="bg-BG"/>
        </w:rPr>
      </w:pPr>
    </w:p>
    <w:p w14:paraId="513050F7" w14:textId="77777777" w:rsidR="001C43CC" w:rsidRPr="00692EAA" w:rsidRDefault="001C43CC" w:rsidP="0056219E">
      <w:pPr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има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едностепенна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система на управление и се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управлява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съвет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директорите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>.</w:t>
      </w:r>
    </w:p>
    <w:p w14:paraId="459EFD9B" w14:textId="77777777" w:rsidR="001C43CC" w:rsidRPr="00692EAA" w:rsidRDefault="001C43CC" w:rsidP="0056219E">
      <w:pPr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се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представлява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от </w:t>
      </w:r>
      <w:r w:rsidRPr="00692EAA">
        <w:rPr>
          <w:rFonts w:ascii="Calibri" w:hAnsi="Calibri" w:cs="Calibri"/>
          <w:sz w:val="22"/>
          <w:szCs w:val="22"/>
          <w:lang w:val="bg-BG"/>
        </w:rPr>
        <w:t>Валентин Георгиев Стоилов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-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изпълнителен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директор </w:t>
      </w:r>
    </w:p>
    <w:p w14:paraId="7F73F008" w14:textId="6B00670A" w:rsidR="001C43CC" w:rsidRPr="00692EAA" w:rsidRDefault="001C43CC" w:rsidP="0056219E">
      <w:pPr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Към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EF34D6" w:rsidRPr="00692EAA">
        <w:rPr>
          <w:rFonts w:ascii="Calibri" w:hAnsi="Calibri" w:cs="Calibri"/>
          <w:sz w:val="22"/>
          <w:szCs w:val="22"/>
          <w:lang w:val="ru-RU"/>
        </w:rPr>
        <w:t>3</w:t>
      </w:r>
      <w:r w:rsidR="004940BA">
        <w:rPr>
          <w:rFonts w:ascii="Calibri" w:hAnsi="Calibri" w:cs="Calibri"/>
          <w:sz w:val="22"/>
          <w:szCs w:val="22"/>
          <w:lang w:val="ru-RU"/>
        </w:rPr>
        <w:t>1</w:t>
      </w:r>
      <w:r w:rsidR="00EF34D6"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5A1370">
        <w:rPr>
          <w:rFonts w:ascii="Calibri" w:hAnsi="Calibri" w:cs="Calibri"/>
          <w:sz w:val="22"/>
          <w:szCs w:val="22"/>
          <w:lang w:val="ru-RU"/>
        </w:rPr>
        <w:t>март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202</w:t>
      </w:r>
      <w:r w:rsidR="001E2038">
        <w:rPr>
          <w:rFonts w:ascii="Calibri" w:hAnsi="Calibri" w:cs="Calibri"/>
          <w:sz w:val="22"/>
          <w:szCs w:val="22"/>
          <w:lang w:val="ru-RU"/>
        </w:rPr>
        <w:t>6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г. </w:t>
      </w:r>
      <w:proofErr w:type="gramStart"/>
      <w:r w:rsidRPr="00692EAA">
        <w:rPr>
          <w:rFonts w:ascii="Calibri" w:hAnsi="Calibri" w:cs="Calibri"/>
          <w:sz w:val="22"/>
          <w:szCs w:val="22"/>
          <w:lang w:val="ru-RU"/>
        </w:rPr>
        <w:t>и  31</w:t>
      </w:r>
      <w:proofErr w:type="gram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декември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202</w:t>
      </w:r>
      <w:r w:rsidR="001E2038">
        <w:rPr>
          <w:rFonts w:ascii="Calibri" w:hAnsi="Calibri" w:cs="Calibri"/>
          <w:sz w:val="22"/>
          <w:szCs w:val="22"/>
          <w:lang w:val="ru-RU"/>
        </w:rPr>
        <w:t>5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г.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членовете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съвета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директорите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са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както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</w:p>
    <w:p w14:paraId="1DCC631C" w14:textId="77777777" w:rsidR="001C43CC" w:rsidRPr="00692EAA" w:rsidRDefault="001C43CC" w:rsidP="0056219E">
      <w:pPr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следва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>:</w:t>
      </w:r>
    </w:p>
    <w:p w14:paraId="4502FAEB" w14:textId="77777777" w:rsidR="001C43CC" w:rsidRPr="00692EAA" w:rsidRDefault="001C43CC" w:rsidP="0056219E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692EAA">
        <w:rPr>
          <w:rFonts w:ascii="Calibri" w:hAnsi="Calibri" w:cs="Calibri"/>
          <w:sz w:val="22"/>
          <w:szCs w:val="22"/>
          <w:lang w:val="ru-RU"/>
        </w:rPr>
        <w:t xml:space="preserve">• </w:t>
      </w:r>
      <w:r w:rsidRPr="00692EAA">
        <w:rPr>
          <w:rFonts w:ascii="Calibri" w:hAnsi="Calibri" w:cs="Calibri"/>
          <w:sz w:val="22"/>
          <w:szCs w:val="22"/>
          <w:lang w:val="bg-BG"/>
        </w:rPr>
        <w:t>Валентин Георгиев Стоилов</w:t>
      </w:r>
      <w:r w:rsidRPr="00692EAA">
        <w:rPr>
          <w:rFonts w:ascii="Calibri" w:hAnsi="Calibri" w:cs="Calibri"/>
          <w:sz w:val="22"/>
          <w:szCs w:val="22"/>
          <w:lang w:val="ru-RU"/>
        </w:rPr>
        <w:t>;</w:t>
      </w:r>
    </w:p>
    <w:p w14:paraId="1E60E9BB" w14:textId="77777777" w:rsidR="001C43CC" w:rsidRPr="00692EAA" w:rsidRDefault="001C43CC" w:rsidP="0056219E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692EAA">
        <w:rPr>
          <w:rFonts w:ascii="Calibri" w:hAnsi="Calibri" w:cs="Calibri"/>
          <w:sz w:val="22"/>
          <w:szCs w:val="22"/>
          <w:lang w:val="ru-RU"/>
        </w:rPr>
        <w:t xml:space="preserve">• </w:t>
      </w:r>
      <w:r w:rsidRPr="00692EAA">
        <w:rPr>
          <w:rFonts w:ascii="Calibri" w:hAnsi="Calibri" w:cs="Calibri"/>
          <w:sz w:val="22"/>
          <w:szCs w:val="22"/>
          <w:lang w:val="bg-BG"/>
        </w:rPr>
        <w:t>Пеци Дечев Пецев</w:t>
      </w:r>
      <w:r w:rsidRPr="00692EAA">
        <w:rPr>
          <w:rFonts w:ascii="Calibri" w:hAnsi="Calibri" w:cs="Calibri"/>
          <w:sz w:val="22"/>
          <w:szCs w:val="22"/>
          <w:lang w:val="ru-RU"/>
        </w:rPr>
        <w:t>;</w:t>
      </w:r>
    </w:p>
    <w:p w14:paraId="06F3750B" w14:textId="77777777" w:rsidR="001C43CC" w:rsidRPr="00692EAA" w:rsidRDefault="001C43CC" w:rsidP="0056219E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692EAA">
        <w:rPr>
          <w:rFonts w:ascii="Calibri" w:hAnsi="Calibri" w:cs="Calibri"/>
          <w:sz w:val="22"/>
          <w:szCs w:val="22"/>
          <w:lang w:val="ru-RU"/>
        </w:rPr>
        <w:t xml:space="preserve">• </w:t>
      </w:r>
      <w:r w:rsidRPr="00692EAA">
        <w:rPr>
          <w:rFonts w:ascii="Calibri" w:hAnsi="Calibri" w:cs="Calibri"/>
          <w:sz w:val="22"/>
          <w:szCs w:val="22"/>
          <w:lang w:val="bg-BG"/>
        </w:rPr>
        <w:t>Михаела Бориславова Михова</w:t>
      </w:r>
      <w:r w:rsidRPr="00692EAA">
        <w:rPr>
          <w:rFonts w:ascii="Calibri" w:hAnsi="Calibri" w:cs="Calibri"/>
          <w:sz w:val="22"/>
          <w:szCs w:val="22"/>
          <w:lang w:val="ru-RU"/>
        </w:rPr>
        <w:t>;</w:t>
      </w:r>
    </w:p>
    <w:p w14:paraId="44DDCCC3" w14:textId="77777777" w:rsidR="0056219E" w:rsidRPr="00692EAA" w:rsidRDefault="0056219E" w:rsidP="001C43CC">
      <w:pPr>
        <w:jc w:val="both"/>
        <w:rPr>
          <w:rFonts w:ascii="Calibri" w:hAnsi="Calibri" w:cs="Calibri"/>
          <w:sz w:val="22"/>
          <w:szCs w:val="22"/>
          <w:lang w:val="ru-RU"/>
        </w:rPr>
      </w:pPr>
    </w:p>
    <w:p w14:paraId="0C051D4D" w14:textId="2D761F1A" w:rsidR="001C43CC" w:rsidRPr="0059353F" w:rsidRDefault="001C43CC" w:rsidP="001C43CC">
      <w:pPr>
        <w:jc w:val="both"/>
        <w:rPr>
          <w:rFonts w:ascii="Calibri" w:hAnsi="Calibri" w:cs="Calibri"/>
          <w:sz w:val="22"/>
          <w:szCs w:val="22"/>
          <w:lang w:val="bg-BG"/>
        </w:rPr>
      </w:pP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има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регистриран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акционерен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капитал в размер на </w:t>
      </w:r>
      <w:r w:rsidR="00187556">
        <w:rPr>
          <w:rFonts w:ascii="Calibri" w:hAnsi="Calibri" w:cs="Calibri"/>
          <w:sz w:val="22"/>
          <w:szCs w:val="22"/>
          <w:lang w:val="ru-RU"/>
        </w:rPr>
        <w:t>5 169 587,97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87556">
        <w:rPr>
          <w:rFonts w:ascii="Calibri" w:hAnsi="Calibri" w:cs="Calibri"/>
          <w:sz w:val="22"/>
          <w:szCs w:val="22"/>
          <w:lang w:val="ru-RU"/>
        </w:rPr>
        <w:t>евро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(202</w:t>
      </w:r>
      <w:r w:rsidR="00187556">
        <w:rPr>
          <w:rFonts w:ascii="Calibri" w:hAnsi="Calibri" w:cs="Calibri"/>
          <w:sz w:val="22"/>
          <w:szCs w:val="22"/>
          <w:lang w:val="ru-RU"/>
        </w:rPr>
        <w:t>5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г. :</w:t>
      </w:r>
      <w:r w:rsidR="0056219E"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87556">
        <w:rPr>
          <w:rFonts w:ascii="Calibri" w:hAnsi="Calibri" w:cs="Calibri"/>
          <w:sz w:val="22"/>
          <w:szCs w:val="22"/>
          <w:lang w:val="ru-RU"/>
        </w:rPr>
        <w:t>5 169 587,97 евро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),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разпределен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в </w:t>
      </w:r>
      <w:r w:rsidR="00187556">
        <w:rPr>
          <w:rFonts w:ascii="Calibri" w:hAnsi="Calibri" w:cs="Calibri"/>
          <w:sz w:val="22"/>
          <w:szCs w:val="22"/>
          <w:lang w:val="ru-RU"/>
        </w:rPr>
        <w:t>10 136 447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(202</w:t>
      </w:r>
      <w:r w:rsidR="00187556">
        <w:rPr>
          <w:rFonts w:ascii="Calibri" w:hAnsi="Calibri" w:cs="Calibri"/>
          <w:sz w:val="22"/>
          <w:szCs w:val="22"/>
          <w:lang w:val="ru-RU"/>
        </w:rPr>
        <w:t>5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г.:</w:t>
      </w:r>
      <w:r w:rsidR="00187556">
        <w:rPr>
          <w:rFonts w:ascii="Calibri" w:hAnsi="Calibri" w:cs="Calibri"/>
          <w:sz w:val="22"/>
          <w:szCs w:val="22"/>
          <w:lang w:val="ru-RU"/>
        </w:rPr>
        <w:t>10 136 447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)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обикновени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безналични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поименни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акции с право на един глас в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общото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събрание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акционерите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и с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номинална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стойност</w:t>
      </w:r>
      <w:proofErr w:type="spellEnd"/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87556">
        <w:rPr>
          <w:rFonts w:ascii="Calibri" w:hAnsi="Calibri" w:cs="Calibri"/>
          <w:sz w:val="22"/>
          <w:szCs w:val="22"/>
          <w:lang w:val="ru-RU"/>
        </w:rPr>
        <w:t>0,51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87556">
        <w:rPr>
          <w:rFonts w:ascii="Calibri" w:hAnsi="Calibri" w:cs="Calibri"/>
          <w:sz w:val="22"/>
          <w:szCs w:val="22"/>
          <w:lang w:val="ru-RU"/>
        </w:rPr>
        <w:t>евро</w:t>
      </w:r>
      <w:r w:rsidRPr="00692EAA">
        <w:rPr>
          <w:rFonts w:ascii="Calibri" w:hAnsi="Calibri" w:cs="Calibri"/>
          <w:sz w:val="22"/>
          <w:szCs w:val="22"/>
          <w:lang w:val="ru-RU"/>
        </w:rPr>
        <w:t xml:space="preserve"> всяка </w:t>
      </w:r>
      <w:proofErr w:type="spellStart"/>
      <w:r w:rsidRPr="00692EAA">
        <w:rPr>
          <w:rFonts w:ascii="Calibri" w:hAnsi="Calibri" w:cs="Calibri"/>
          <w:sz w:val="22"/>
          <w:szCs w:val="22"/>
          <w:lang w:val="ru-RU"/>
        </w:rPr>
        <w:t>една</w:t>
      </w:r>
      <w:proofErr w:type="spellEnd"/>
      <w:r w:rsidR="0059353F">
        <w:rPr>
          <w:rFonts w:ascii="Calibri" w:hAnsi="Calibri" w:cs="Calibri"/>
          <w:sz w:val="22"/>
          <w:szCs w:val="22"/>
          <w:lang w:val="bg-BG"/>
        </w:rPr>
        <w:t>.</w:t>
      </w:r>
    </w:p>
    <w:p w14:paraId="31E7FFAE" w14:textId="77777777" w:rsidR="004D3F4F" w:rsidRPr="004D3F4F" w:rsidRDefault="004D3F4F" w:rsidP="004D3F4F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4D3F4F">
        <w:rPr>
          <w:rFonts w:ascii="Calibri" w:hAnsi="Calibri" w:cs="Calibri"/>
          <w:sz w:val="22"/>
          <w:szCs w:val="22"/>
          <w:lang w:val="ru-RU"/>
        </w:rPr>
        <w:t xml:space="preserve">На 01.01.2026 г.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размерът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Регистрирания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капитал на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е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превалутиран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на 5,169,587.97 евро,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разпределени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в 10,136,447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обикновени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поименни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безналични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и свободно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прехвърляеми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акции,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всички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с право на глас и с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номинална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стойност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от 0.51 евро всяка. </w:t>
      </w:r>
    </w:p>
    <w:p w14:paraId="2C48736E" w14:textId="77777777" w:rsidR="004D3F4F" w:rsidRPr="004D3F4F" w:rsidRDefault="004D3F4F" w:rsidP="004D3F4F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4D3F4F">
        <w:rPr>
          <w:rFonts w:ascii="Calibri" w:hAnsi="Calibri" w:cs="Calibri"/>
          <w:sz w:val="22"/>
          <w:szCs w:val="22"/>
          <w:lang w:val="ru-RU"/>
        </w:rPr>
        <w:t xml:space="preserve">На основание чл. 32 от ЗВЕРБ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ще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представи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за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обявяване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в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Търговския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регистър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Устав с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отразени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превалутиран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размер </w:t>
      </w:r>
      <w:proofErr w:type="gramStart"/>
      <w:r w:rsidRPr="004D3F4F">
        <w:rPr>
          <w:rFonts w:ascii="Calibri" w:hAnsi="Calibri" w:cs="Calibri"/>
          <w:sz w:val="22"/>
          <w:szCs w:val="22"/>
          <w:lang w:val="ru-RU"/>
        </w:rPr>
        <w:t>на капитала</w:t>
      </w:r>
      <w:proofErr w:type="gramEnd"/>
      <w:r w:rsidRPr="004D3F4F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номинална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стойност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акциите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в срок до 12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месеца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датата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въвеждане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еврото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в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Република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4D3F4F">
        <w:rPr>
          <w:rFonts w:ascii="Calibri" w:hAnsi="Calibri" w:cs="Calibri"/>
          <w:sz w:val="22"/>
          <w:szCs w:val="22"/>
          <w:lang w:val="ru-RU"/>
        </w:rPr>
        <w:t>България</w:t>
      </w:r>
      <w:proofErr w:type="spellEnd"/>
      <w:r w:rsidRPr="004D3F4F">
        <w:rPr>
          <w:rFonts w:ascii="Calibri" w:hAnsi="Calibri" w:cs="Calibri"/>
          <w:sz w:val="22"/>
          <w:szCs w:val="22"/>
          <w:lang w:val="ru-RU"/>
        </w:rPr>
        <w:t>.</w:t>
      </w:r>
    </w:p>
    <w:p w14:paraId="3B41B8E3" w14:textId="77777777" w:rsidR="00FE396A" w:rsidRPr="00692EAA" w:rsidRDefault="00FE396A" w:rsidP="00FE396A">
      <w:pPr>
        <w:jc w:val="both"/>
        <w:rPr>
          <w:rFonts w:ascii="Calibri" w:hAnsi="Calibri" w:cs="Calibri"/>
          <w:sz w:val="22"/>
          <w:szCs w:val="22"/>
          <w:lang w:val="ru-RU"/>
        </w:rPr>
      </w:pPr>
    </w:p>
    <w:p w14:paraId="635EB2DB" w14:textId="56ECF535" w:rsidR="00522CCE" w:rsidRPr="00522CCE" w:rsidRDefault="00522CCE" w:rsidP="00522CCE">
      <w:pPr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През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отчетния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период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бяха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представени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в КФН, БФБ и на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обществеността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междинен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финансов отчет за 4-то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тримесечие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202</w:t>
      </w:r>
      <w:r w:rsidR="004D3F4F">
        <w:rPr>
          <w:rFonts w:ascii="Calibri" w:hAnsi="Calibri" w:cs="Calibri"/>
          <w:sz w:val="22"/>
          <w:szCs w:val="22"/>
          <w:lang w:val="ru-RU"/>
        </w:rPr>
        <w:t>5</w:t>
      </w:r>
      <w:r w:rsidRPr="00522CCE">
        <w:rPr>
          <w:rFonts w:ascii="Calibri" w:hAnsi="Calibri" w:cs="Calibri"/>
          <w:sz w:val="22"/>
          <w:szCs w:val="22"/>
          <w:lang w:val="ru-RU"/>
        </w:rPr>
        <w:t xml:space="preserve"> г.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съгласно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изискванията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на чл.100о от ЗППЦК/ДВ,бр.42 от 2016 г./ и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годишният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финансов отчет за 202</w:t>
      </w:r>
      <w:r w:rsidR="004D3F4F">
        <w:rPr>
          <w:rFonts w:ascii="Calibri" w:hAnsi="Calibri" w:cs="Calibri"/>
          <w:sz w:val="22"/>
          <w:szCs w:val="22"/>
          <w:lang w:val="ru-RU"/>
        </w:rPr>
        <w:t>5</w:t>
      </w:r>
      <w:r w:rsidRPr="00522CCE">
        <w:rPr>
          <w:rFonts w:ascii="Calibri" w:hAnsi="Calibri" w:cs="Calibri"/>
          <w:sz w:val="22"/>
          <w:szCs w:val="22"/>
          <w:lang w:val="ru-RU"/>
        </w:rPr>
        <w:t xml:space="preserve"> г. заверен от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регистриран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22CCE">
        <w:rPr>
          <w:rFonts w:ascii="Calibri" w:hAnsi="Calibri" w:cs="Calibri"/>
          <w:sz w:val="22"/>
          <w:szCs w:val="22"/>
          <w:lang w:val="ru-RU"/>
        </w:rPr>
        <w:t>одитор</w:t>
      </w:r>
      <w:proofErr w:type="spellEnd"/>
      <w:r w:rsidRPr="00522CCE">
        <w:rPr>
          <w:rFonts w:ascii="Calibri" w:hAnsi="Calibri" w:cs="Calibri"/>
          <w:sz w:val="22"/>
          <w:szCs w:val="22"/>
          <w:lang w:val="ru-RU"/>
        </w:rPr>
        <w:t xml:space="preserve">. </w:t>
      </w:r>
    </w:p>
    <w:p w14:paraId="430065F5" w14:textId="77777777" w:rsidR="00522CCE" w:rsidRDefault="00522CCE" w:rsidP="00282E8C">
      <w:pPr>
        <w:jc w:val="both"/>
        <w:rPr>
          <w:rFonts w:ascii="Calibri" w:hAnsi="Calibri" w:cs="Calibri"/>
          <w:sz w:val="22"/>
          <w:szCs w:val="22"/>
          <w:lang w:val="ru-RU"/>
        </w:rPr>
      </w:pPr>
    </w:p>
    <w:p w14:paraId="01543F26" w14:textId="77777777" w:rsidR="00D43EFE" w:rsidRPr="00285774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lang w:val="ru-RU" w:eastAsia="bg-BG"/>
        </w:rPr>
      </w:pPr>
      <w:proofErr w:type="spellStart"/>
      <w:r w:rsidRPr="00285774">
        <w:rPr>
          <w:rFonts w:ascii="Calibri" w:hAnsi="Calibri" w:cs="Calibri"/>
          <w:b/>
          <w:bCs/>
          <w:sz w:val="22"/>
          <w:szCs w:val="22"/>
          <w:lang w:val="ru-RU" w:eastAsia="bg-BG"/>
        </w:rPr>
        <w:t>Инвестиционна</w:t>
      </w:r>
      <w:proofErr w:type="spellEnd"/>
      <w:r w:rsidRPr="00285774">
        <w:rPr>
          <w:rFonts w:ascii="Calibri" w:hAnsi="Calibri" w:cs="Calibri"/>
          <w:b/>
          <w:bCs/>
          <w:sz w:val="22"/>
          <w:szCs w:val="22"/>
          <w:lang w:val="ru-RU" w:eastAsia="bg-BG"/>
        </w:rPr>
        <w:t xml:space="preserve"> стратегия и цели на </w:t>
      </w:r>
      <w:proofErr w:type="spellStart"/>
      <w:r w:rsidRPr="00285774">
        <w:rPr>
          <w:rFonts w:ascii="Calibri" w:hAnsi="Calibri" w:cs="Calibri"/>
          <w:b/>
          <w:bCs/>
          <w:sz w:val="22"/>
          <w:szCs w:val="22"/>
          <w:lang w:val="ru-RU" w:eastAsia="bg-BG"/>
        </w:rPr>
        <w:t>дружеството</w:t>
      </w:r>
      <w:proofErr w:type="spellEnd"/>
      <w:r w:rsidRPr="00285774">
        <w:rPr>
          <w:rFonts w:ascii="Calibri" w:hAnsi="Calibri" w:cs="Calibri"/>
          <w:b/>
          <w:bCs/>
          <w:sz w:val="22"/>
          <w:szCs w:val="22"/>
          <w:lang w:val="ru-RU" w:eastAsia="bg-BG"/>
        </w:rPr>
        <w:t>:</w:t>
      </w:r>
    </w:p>
    <w:p w14:paraId="180751CD" w14:textId="77777777" w:rsidR="00D43EFE" w:rsidRPr="00285774" w:rsidRDefault="00D43EFE" w:rsidP="00D43EFE">
      <w:pPr>
        <w:jc w:val="both"/>
        <w:rPr>
          <w:rFonts w:ascii="Calibri" w:hAnsi="Calibri" w:cs="Calibri"/>
          <w:bCs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sz w:val="22"/>
          <w:szCs w:val="22"/>
          <w:lang w:val="bg-BG" w:eastAsia="bg-BG"/>
        </w:rPr>
        <w:t xml:space="preserve">-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дългосрочно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инвестиране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набраните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средства в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земеделска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земя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която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се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използва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за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земеделско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производство;</w:t>
      </w:r>
    </w:p>
    <w:p w14:paraId="6BD9D367" w14:textId="77777777" w:rsidR="00D43EFE" w:rsidRPr="00285774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-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окрупняване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придобитите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земеделски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имоти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с цел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повишаване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тяхната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стойност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атрактивност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;</w:t>
      </w:r>
    </w:p>
    <w:p w14:paraId="1E900906" w14:textId="77777777" w:rsidR="00D43EFE" w:rsidRPr="00285774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ru-RU" w:eastAsia="bg-BG"/>
        </w:rPr>
        <w:t xml:space="preserve">-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отдаване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придобитите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земеделски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имоти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gram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под аренда</w:t>
      </w:r>
      <w:proofErr w:type="gram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или наем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големи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земеделски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производители;</w:t>
      </w:r>
    </w:p>
    <w:p w14:paraId="16B6EAF2" w14:textId="77777777" w:rsidR="00D43EFE" w:rsidRPr="00285774" w:rsidRDefault="00D43EFE" w:rsidP="00D43EFE">
      <w:pPr>
        <w:jc w:val="both"/>
        <w:rPr>
          <w:rFonts w:ascii="Calibri" w:hAnsi="Calibri" w:cs="Calibri"/>
          <w:bCs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ru-RU" w:eastAsia="bg-BG"/>
        </w:rPr>
        <w:t xml:space="preserve">- </w:t>
      </w:r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активно управление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придобитите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земеделски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имоти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изразяващо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се в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избиране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подходящ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момент за </w:t>
      </w:r>
      <w:proofErr w:type="spellStart"/>
      <w:proofErr w:type="gram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тяхната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продажба</w:t>
      </w:r>
      <w:proofErr w:type="spellEnd"/>
      <w:proofErr w:type="gram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или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замяна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;</w:t>
      </w:r>
    </w:p>
    <w:p w14:paraId="02600F7F" w14:textId="77777777" w:rsidR="00D43EFE" w:rsidRPr="00285774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-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създаване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диференциран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портфейл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от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земеделски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имоти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в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различни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региони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страната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и от различен тип;</w:t>
      </w:r>
    </w:p>
    <w:p w14:paraId="3A3F3CD9" w14:textId="77777777" w:rsidR="00D43EFE" w:rsidRPr="00285774" w:rsidRDefault="00D43EFE" w:rsidP="00D43EFE">
      <w:pPr>
        <w:jc w:val="both"/>
        <w:rPr>
          <w:rFonts w:ascii="Calibri" w:hAnsi="Calibri" w:cs="Calibri"/>
          <w:bCs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ru-RU" w:eastAsia="bg-BG"/>
        </w:rPr>
        <w:lastRenderedPageBreak/>
        <w:t xml:space="preserve">-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придобиване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в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отделни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случаи и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други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недвижими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имоти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свързани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със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земеделското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производство;</w:t>
      </w:r>
    </w:p>
    <w:p w14:paraId="270E3624" w14:textId="77777777" w:rsidR="00D43EFE" w:rsidRPr="00285774" w:rsidRDefault="00D43EFE" w:rsidP="00D43EFE">
      <w:pPr>
        <w:jc w:val="both"/>
        <w:rPr>
          <w:rFonts w:ascii="Calibri" w:hAnsi="Calibri" w:cs="Calibri"/>
          <w:bCs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-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придобиваване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и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недвижими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имоти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несвързани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със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земеделското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производство (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включително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, но не само</w:t>
      </w:r>
      <w:r w:rsidR="008162BA" w:rsidRPr="00285774">
        <w:rPr>
          <w:rFonts w:ascii="Calibri" w:hAnsi="Calibri" w:cs="Calibri"/>
          <w:bCs/>
          <w:sz w:val="22"/>
          <w:szCs w:val="22"/>
          <w:lang w:val="ru-RU" w:eastAsia="bg-BG"/>
        </w:rPr>
        <w:t>,</w:t>
      </w:r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жилищни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имоти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офиси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магазини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и парцели) с цел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отдаването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им по под наем, лизинг или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продажбата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им;</w:t>
      </w:r>
    </w:p>
    <w:p w14:paraId="673FBD5F" w14:textId="77777777" w:rsidR="00D43EFE" w:rsidRDefault="00D43EFE" w:rsidP="00D43EFE">
      <w:pPr>
        <w:jc w:val="both"/>
        <w:rPr>
          <w:rFonts w:ascii="Calibri" w:hAnsi="Calibri" w:cs="Calibri"/>
          <w:bCs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-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строителство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сгради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върху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придобити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имоти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с цел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дългосрочно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отдаване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под наем или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продажба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>включително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 w:eastAsia="bg-BG"/>
        </w:rPr>
        <w:t xml:space="preserve"> чрез лизинг.</w:t>
      </w:r>
    </w:p>
    <w:p w14:paraId="1350CB7E" w14:textId="77777777" w:rsidR="000754B0" w:rsidRPr="00285774" w:rsidRDefault="000754B0" w:rsidP="00D43EFE">
      <w:pPr>
        <w:jc w:val="both"/>
        <w:rPr>
          <w:rFonts w:ascii="Calibri" w:hAnsi="Calibri" w:cs="Calibri"/>
          <w:bCs/>
          <w:sz w:val="22"/>
          <w:szCs w:val="22"/>
          <w:lang w:val="ru-RU" w:eastAsia="bg-BG"/>
        </w:rPr>
      </w:pPr>
    </w:p>
    <w:p w14:paraId="1D9B5C6B" w14:textId="77777777" w:rsidR="00E41C58" w:rsidRPr="00285774" w:rsidRDefault="00E41C58" w:rsidP="00E41C58">
      <w:pPr>
        <w:jc w:val="both"/>
        <w:rPr>
          <w:rFonts w:ascii="Calibri" w:hAnsi="Calibri" w:cs="Calibri"/>
          <w:b/>
          <w:bCs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1. ПРЕГЛЕД НА ДЕЙНОСТТА</w:t>
      </w:r>
    </w:p>
    <w:p w14:paraId="16A284AD" w14:textId="77777777" w:rsidR="003D3362" w:rsidRPr="00987258" w:rsidRDefault="003D3362" w:rsidP="003D3362">
      <w:pPr>
        <w:jc w:val="both"/>
        <w:rPr>
          <w:rFonts w:ascii="Calibri" w:hAnsi="Calibri" w:cs="Calibri"/>
          <w:sz w:val="22"/>
          <w:szCs w:val="22"/>
          <w:lang w:val="bg-BG"/>
        </w:rPr>
      </w:pPr>
      <w:r w:rsidRPr="00987258">
        <w:rPr>
          <w:rFonts w:ascii="Calibri" w:hAnsi="Calibri" w:cs="Calibri"/>
          <w:sz w:val="22"/>
          <w:szCs w:val="22"/>
          <w:lang w:val="bg-BG"/>
        </w:rPr>
        <w:t>През отчетния период продължаващите военни конфликти в Украйна и Конфликтите в Близкия изток продължиха да оказват въздействие върху световната икономика по различни начини, свързани главно с цените на енергийните ресурси, което оказва влияние и на основните суровини за селското стопанство - торове, горива, семена.</w:t>
      </w:r>
    </w:p>
    <w:p w14:paraId="73C89452" w14:textId="77777777" w:rsidR="003D3362" w:rsidRPr="00987258" w:rsidRDefault="003D3362" w:rsidP="003D3362">
      <w:pPr>
        <w:jc w:val="both"/>
        <w:rPr>
          <w:rFonts w:ascii="Calibri" w:hAnsi="Calibri" w:cs="Calibri"/>
          <w:sz w:val="22"/>
          <w:szCs w:val="22"/>
          <w:lang w:val="bg-BG"/>
        </w:rPr>
      </w:pPr>
      <w:r w:rsidRPr="00987258">
        <w:rPr>
          <w:rFonts w:ascii="Calibri" w:hAnsi="Calibri" w:cs="Calibri"/>
          <w:sz w:val="22"/>
          <w:szCs w:val="22"/>
          <w:lang w:val="bg-BG"/>
        </w:rPr>
        <w:t xml:space="preserve">Тези събития, както и инфлацията, която  е определяща за актуалните цени на поземлените имоти,  продължиха да оказват влияние  върху инвестиционната дейност на дружеството. </w:t>
      </w:r>
    </w:p>
    <w:p w14:paraId="44F23C6F" w14:textId="77777777" w:rsidR="003D3362" w:rsidRDefault="003D3362" w:rsidP="003D3362">
      <w:pPr>
        <w:jc w:val="both"/>
        <w:rPr>
          <w:rFonts w:ascii="Calibri" w:hAnsi="Calibri" w:cs="Calibri"/>
          <w:sz w:val="22"/>
          <w:szCs w:val="22"/>
          <w:lang w:val="bg-BG"/>
        </w:rPr>
      </w:pPr>
    </w:p>
    <w:p w14:paraId="42A2F1F8" w14:textId="13CCC98D" w:rsidR="003D3362" w:rsidRPr="00987258" w:rsidRDefault="003D3362" w:rsidP="003D3362">
      <w:pPr>
        <w:jc w:val="both"/>
        <w:rPr>
          <w:rFonts w:ascii="Calibri" w:hAnsi="Calibri" w:cs="Calibri"/>
          <w:sz w:val="22"/>
          <w:szCs w:val="22"/>
          <w:lang w:val="bg-BG"/>
        </w:rPr>
      </w:pPr>
      <w:r w:rsidRPr="00987258">
        <w:rPr>
          <w:rFonts w:ascii="Calibri" w:hAnsi="Calibri" w:cs="Calibri"/>
          <w:sz w:val="22"/>
          <w:szCs w:val="22"/>
          <w:lang w:val="bg-BG"/>
        </w:rPr>
        <w:t>Общата пазарна стойност на всички инвестиционни имоти притежавани от дружеството към 31.</w:t>
      </w:r>
      <w:r w:rsidR="0099009A">
        <w:rPr>
          <w:rFonts w:ascii="Calibri" w:hAnsi="Calibri" w:cs="Calibri"/>
          <w:sz w:val="22"/>
          <w:szCs w:val="22"/>
          <w:lang w:val="bg-BG"/>
        </w:rPr>
        <w:t>03</w:t>
      </w:r>
      <w:r w:rsidRPr="00987258">
        <w:rPr>
          <w:rFonts w:ascii="Calibri" w:hAnsi="Calibri" w:cs="Calibri"/>
          <w:sz w:val="22"/>
          <w:szCs w:val="22"/>
          <w:lang w:val="bg-BG"/>
        </w:rPr>
        <w:t>.202</w:t>
      </w:r>
      <w:r w:rsidR="0099009A">
        <w:rPr>
          <w:rFonts w:ascii="Calibri" w:hAnsi="Calibri" w:cs="Calibri"/>
          <w:sz w:val="22"/>
          <w:szCs w:val="22"/>
          <w:lang w:val="bg-BG"/>
        </w:rPr>
        <w:t>6</w:t>
      </w:r>
      <w:r w:rsidRPr="00987258">
        <w:rPr>
          <w:rFonts w:ascii="Calibri" w:hAnsi="Calibri" w:cs="Calibri"/>
          <w:sz w:val="22"/>
          <w:szCs w:val="22"/>
          <w:lang w:val="bg-BG"/>
        </w:rPr>
        <w:t xml:space="preserve"> г. </w:t>
      </w:r>
      <w:r w:rsidR="0099009A">
        <w:rPr>
          <w:rFonts w:ascii="Calibri" w:hAnsi="Calibri" w:cs="Calibri"/>
          <w:sz w:val="22"/>
          <w:szCs w:val="22"/>
          <w:lang w:val="bg-BG"/>
        </w:rPr>
        <w:t>е в размер на</w:t>
      </w:r>
      <w:r w:rsidRPr="00987258">
        <w:rPr>
          <w:rFonts w:ascii="Calibri" w:hAnsi="Calibri" w:cs="Calibri"/>
          <w:sz w:val="22"/>
          <w:szCs w:val="22"/>
          <w:lang w:val="bg-BG"/>
        </w:rPr>
        <w:t xml:space="preserve"> </w:t>
      </w:r>
      <w:r w:rsidR="0099009A">
        <w:rPr>
          <w:rFonts w:ascii="Calibri" w:hAnsi="Calibri" w:cs="Calibri"/>
          <w:sz w:val="22"/>
          <w:szCs w:val="22"/>
          <w:lang w:val="bg-BG"/>
        </w:rPr>
        <w:t>6 370</w:t>
      </w:r>
      <w:r w:rsidRPr="00987258">
        <w:rPr>
          <w:rFonts w:ascii="Calibri" w:hAnsi="Calibri" w:cs="Calibri"/>
          <w:sz w:val="22"/>
          <w:szCs w:val="22"/>
          <w:lang w:val="bg-BG"/>
        </w:rPr>
        <w:t xml:space="preserve"> хил. </w:t>
      </w:r>
      <w:r w:rsidR="0099009A">
        <w:rPr>
          <w:rFonts w:ascii="Calibri" w:hAnsi="Calibri" w:cs="Calibri"/>
          <w:sz w:val="22"/>
          <w:szCs w:val="22"/>
          <w:lang w:val="bg-BG"/>
        </w:rPr>
        <w:t>евро</w:t>
      </w:r>
      <w:r w:rsidRPr="00987258">
        <w:rPr>
          <w:rFonts w:ascii="Calibri" w:hAnsi="Calibri" w:cs="Calibri"/>
          <w:sz w:val="22"/>
          <w:szCs w:val="22"/>
          <w:lang w:val="bg-BG"/>
        </w:rPr>
        <w:t xml:space="preserve"> </w:t>
      </w:r>
    </w:p>
    <w:p w14:paraId="7820B3BC" w14:textId="5BBB4F00" w:rsidR="0039099B" w:rsidRDefault="0039099B" w:rsidP="000509FC">
      <w:pPr>
        <w:jc w:val="both"/>
        <w:rPr>
          <w:rFonts w:ascii="Calibri" w:hAnsi="Calibri" w:cs="Calibri"/>
          <w:sz w:val="22"/>
          <w:szCs w:val="22"/>
          <w:lang w:val="bg-BG"/>
        </w:rPr>
      </w:pPr>
    </w:p>
    <w:p w14:paraId="3BD2A2A5" w14:textId="77777777" w:rsidR="0075554F" w:rsidRPr="00CB6340" w:rsidRDefault="0075554F" w:rsidP="000509FC">
      <w:pPr>
        <w:jc w:val="both"/>
        <w:rPr>
          <w:rFonts w:ascii="Calibri" w:hAnsi="Calibri" w:cs="Calibri"/>
          <w:sz w:val="22"/>
          <w:szCs w:val="22"/>
          <w:lang w:val="bg-BG"/>
        </w:rPr>
      </w:pPr>
    </w:p>
    <w:p w14:paraId="199C2604" w14:textId="6986556D" w:rsidR="00D43EFE" w:rsidRPr="00CB6340" w:rsidRDefault="00D43EFE" w:rsidP="00E41C58">
      <w:pPr>
        <w:numPr>
          <w:ilvl w:val="0"/>
          <w:numId w:val="12"/>
        </w:num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B6340">
        <w:rPr>
          <w:rFonts w:ascii="Calibri" w:hAnsi="Calibri" w:cs="Calibri"/>
          <w:b/>
          <w:bCs/>
          <w:sz w:val="22"/>
          <w:szCs w:val="22"/>
          <w:lang w:val="bg-BG" w:eastAsia="bg-BG"/>
        </w:rPr>
        <w:t>Инвестиционна дейност през</w:t>
      </w:r>
      <w:r w:rsidRPr="00CB6340">
        <w:rPr>
          <w:rFonts w:ascii="Calibri" w:hAnsi="Calibri" w:cs="Calibri"/>
          <w:b/>
          <w:bCs/>
          <w:sz w:val="22"/>
          <w:szCs w:val="22"/>
          <w:lang w:val="ru-RU" w:eastAsia="bg-BG"/>
        </w:rPr>
        <w:t xml:space="preserve"> 01.01.20</w:t>
      </w:r>
      <w:r w:rsidR="0099377D" w:rsidRPr="00CB6340">
        <w:rPr>
          <w:rFonts w:ascii="Calibri" w:hAnsi="Calibri" w:cs="Calibri"/>
          <w:b/>
          <w:bCs/>
          <w:sz w:val="22"/>
          <w:szCs w:val="22"/>
          <w:lang w:val="ru-RU" w:eastAsia="bg-BG"/>
        </w:rPr>
        <w:t>2</w:t>
      </w:r>
      <w:r w:rsidR="002C2D77">
        <w:rPr>
          <w:rFonts w:ascii="Calibri" w:hAnsi="Calibri" w:cs="Calibri"/>
          <w:b/>
          <w:bCs/>
          <w:sz w:val="22"/>
          <w:szCs w:val="22"/>
          <w:lang w:val="ru-RU" w:eastAsia="bg-BG"/>
        </w:rPr>
        <w:t>6</w:t>
      </w:r>
      <w:r w:rsidRPr="00CB6340">
        <w:rPr>
          <w:rFonts w:ascii="Calibri" w:hAnsi="Calibri" w:cs="Calibri"/>
          <w:b/>
          <w:bCs/>
          <w:sz w:val="22"/>
          <w:szCs w:val="22"/>
          <w:lang w:val="bg-BG" w:eastAsia="bg-BG"/>
        </w:rPr>
        <w:t>г – 3</w:t>
      </w:r>
      <w:r w:rsidR="001049B7" w:rsidRPr="00CB6340">
        <w:rPr>
          <w:rFonts w:ascii="Calibri" w:hAnsi="Calibri" w:cs="Calibri"/>
          <w:b/>
          <w:bCs/>
          <w:sz w:val="22"/>
          <w:szCs w:val="22"/>
          <w:lang w:val="bg-BG" w:eastAsia="bg-BG"/>
        </w:rPr>
        <w:t>1</w:t>
      </w:r>
      <w:r w:rsidRPr="00CB6340">
        <w:rPr>
          <w:rFonts w:ascii="Calibri" w:hAnsi="Calibri" w:cs="Calibri"/>
          <w:b/>
          <w:bCs/>
          <w:sz w:val="22"/>
          <w:szCs w:val="22"/>
          <w:lang w:val="bg-BG" w:eastAsia="bg-BG"/>
        </w:rPr>
        <w:t>.</w:t>
      </w:r>
      <w:r w:rsidR="00EB2CBD" w:rsidRPr="00CB6340">
        <w:rPr>
          <w:rFonts w:ascii="Calibri" w:hAnsi="Calibri" w:cs="Calibri"/>
          <w:b/>
          <w:bCs/>
          <w:sz w:val="22"/>
          <w:szCs w:val="22"/>
          <w:lang w:val="ru-RU" w:eastAsia="bg-BG"/>
        </w:rPr>
        <w:t>03</w:t>
      </w:r>
      <w:r w:rsidRPr="00CB6340">
        <w:rPr>
          <w:rFonts w:ascii="Calibri" w:hAnsi="Calibri" w:cs="Calibri"/>
          <w:b/>
          <w:bCs/>
          <w:sz w:val="22"/>
          <w:szCs w:val="22"/>
          <w:lang w:val="bg-BG" w:eastAsia="bg-BG"/>
        </w:rPr>
        <w:t>.20</w:t>
      </w:r>
      <w:r w:rsidR="0099377D" w:rsidRPr="00CB6340">
        <w:rPr>
          <w:rFonts w:ascii="Calibri" w:hAnsi="Calibri" w:cs="Calibri"/>
          <w:b/>
          <w:bCs/>
          <w:sz w:val="22"/>
          <w:szCs w:val="22"/>
          <w:lang w:val="ru-RU" w:eastAsia="bg-BG"/>
        </w:rPr>
        <w:t>2</w:t>
      </w:r>
      <w:r w:rsidR="002C2D77">
        <w:rPr>
          <w:rFonts w:ascii="Calibri" w:hAnsi="Calibri" w:cs="Calibri"/>
          <w:b/>
          <w:bCs/>
          <w:sz w:val="22"/>
          <w:szCs w:val="22"/>
          <w:lang w:val="ru-RU" w:eastAsia="bg-BG"/>
        </w:rPr>
        <w:t>6</w:t>
      </w:r>
      <w:r w:rsidRPr="00CB6340">
        <w:rPr>
          <w:rFonts w:ascii="Calibri" w:hAnsi="Calibri" w:cs="Calibri"/>
          <w:b/>
          <w:bCs/>
          <w:sz w:val="22"/>
          <w:szCs w:val="22"/>
          <w:lang w:val="bg-BG" w:eastAsia="bg-BG"/>
        </w:rPr>
        <w:t>г.</w:t>
      </w:r>
      <w:r w:rsidRPr="00CB6340">
        <w:rPr>
          <w:rFonts w:ascii="Calibri" w:hAnsi="Calibri" w:cs="Calibri"/>
          <w:b/>
          <w:sz w:val="22"/>
          <w:szCs w:val="22"/>
          <w:lang w:val="bg-BG" w:eastAsia="bg-BG"/>
        </w:rPr>
        <w:t xml:space="preserve"> покупки и продажби на недвижими имоти.</w:t>
      </w:r>
    </w:p>
    <w:p w14:paraId="166B1E87" w14:textId="77777777" w:rsidR="00D43EFE" w:rsidRPr="00CB6340" w:rsidRDefault="00D43EFE" w:rsidP="00D43EFE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ru-RU" w:eastAsia="bg-BG"/>
        </w:rPr>
      </w:pPr>
    </w:p>
    <w:p w14:paraId="267EE7ED" w14:textId="10ADF66C" w:rsidR="00BC6CE0" w:rsidRPr="00CB6340" w:rsidRDefault="00BC6CE0" w:rsidP="00AA2526">
      <w:pPr>
        <w:jc w:val="both"/>
        <w:rPr>
          <w:rFonts w:ascii="Calibri" w:hAnsi="Calibri" w:cs="Calibri"/>
          <w:b/>
          <w:sz w:val="22"/>
          <w:szCs w:val="22"/>
          <w:lang w:val="bg-BG"/>
        </w:rPr>
      </w:pPr>
      <w:r w:rsidRPr="00CB6340">
        <w:rPr>
          <w:rFonts w:ascii="Calibri" w:hAnsi="Calibri" w:cs="Calibri"/>
          <w:b/>
          <w:sz w:val="22"/>
          <w:szCs w:val="22"/>
          <w:lang w:val="bg-BG"/>
        </w:rPr>
        <w:t xml:space="preserve">Придобити инвестиционни имоти земеделски земи през </w:t>
      </w:r>
      <w:r w:rsidR="00A86CB2" w:rsidRPr="00CB6340">
        <w:rPr>
          <w:rFonts w:ascii="Calibri" w:hAnsi="Calibri" w:cs="Calibri"/>
          <w:b/>
          <w:sz w:val="22"/>
          <w:szCs w:val="22"/>
          <w:lang w:val="bg-BG"/>
        </w:rPr>
        <w:t>периода 01.01.202</w:t>
      </w:r>
      <w:r w:rsidR="000C101E">
        <w:rPr>
          <w:rFonts w:ascii="Calibri" w:hAnsi="Calibri" w:cs="Calibri"/>
          <w:b/>
          <w:sz w:val="22"/>
          <w:szCs w:val="22"/>
          <w:lang w:val="bg-BG"/>
        </w:rPr>
        <w:t>6</w:t>
      </w:r>
      <w:r w:rsidR="00A86CB2" w:rsidRPr="00CB6340">
        <w:rPr>
          <w:rFonts w:ascii="Calibri" w:hAnsi="Calibri" w:cs="Calibri"/>
          <w:b/>
          <w:sz w:val="22"/>
          <w:szCs w:val="22"/>
          <w:lang w:val="bg-BG"/>
        </w:rPr>
        <w:t>г. - 3</w:t>
      </w:r>
      <w:r w:rsidR="001049B7" w:rsidRPr="00CB6340">
        <w:rPr>
          <w:rFonts w:ascii="Calibri" w:hAnsi="Calibri" w:cs="Calibri"/>
          <w:b/>
          <w:sz w:val="22"/>
          <w:szCs w:val="22"/>
          <w:lang w:val="ru-RU"/>
        </w:rPr>
        <w:t>1</w:t>
      </w:r>
      <w:r w:rsidR="00A86CB2" w:rsidRPr="00CB6340">
        <w:rPr>
          <w:rFonts w:ascii="Calibri" w:hAnsi="Calibri" w:cs="Calibri"/>
          <w:b/>
          <w:sz w:val="22"/>
          <w:szCs w:val="22"/>
          <w:lang w:val="bg-BG"/>
        </w:rPr>
        <w:t>.</w:t>
      </w:r>
      <w:r w:rsidR="00EB2CBD" w:rsidRPr="00CB6340">
        <w:rPr>
          <w:rFonts w:ascii="Calibri" w:hAnsi="Calibri" w:cs="Calibri"/>
          <w:b/>
          <w:sz w:val="22"/>
          <w:szCs w:val="22"/>
          <w:lang w:val="ru-RU"/>
        </w:rPr>
        <w:t>03</w:t>
      </w:r>
      <w:r w:rsidR="00A86CB2" w:rsidRPr="00CB6340">
        <w:rPr>
          <w:rFonts w:ascii="Calibri" w:hAnsi="Calibri" w:cs="Calibri"/>
          <w:b/>
          <w:sz w:val="22"/>
          <w:szCs w:val="22"/>
          <w:lang w:val="bg-BG"/>
        </w:rPr>
        <w:t>.20</w:t>
      </w:r>
      <w:r w:rsidR="00A86CB2" w:rsidRPr="00CB6340">
        <w:rPr>
          <w:rFonts w:ascii="Calibri" w:hAnsi="Calibri" w:cs="Calibri"/>
          <w:b/>
          <w:sz w:val="22"/>
          <w:szCs w:val="22"/>
          <w:lang w:val="ru-RU"/>
        </w:rPr>
        <w:t>2</w:t>
      </w:r>
      <w:r w:rsidR="000C101E">
        <w:rPr>
          <w:rFonts w:ascii="Calibri" w:hAnsi="Calibri" w:cs="Calibri"/>
          <w:b/>
          <w:sz w:val="22"/>
          <w:szCs w:val="22"/>
          <w:lang w:val="ru-RU"/>
        </w:rPr>
        <w:t>6</w:t>
      </w:r>
      <w:r w:rsidR="00A86CB2" w:rsidRPr="00CB6340">
        <w:rPr>
          <w:rFonts w:ascii="Calibri" w:hAnsi="Calibri" w:cs="Calibri"/>
          <w:b/>
          <w:sz w:val="22"/>
          <w:szCs w:val="22"/>
          <w:lang w:val="bg-BG"/>
        </w:rPr>
        <w:t>г.</w:t>
      </w:r>
      <w:r w:rsidRPr="00CB6340">
        <w:rPr>
          <w:rFonts w:ascii="Calibri" w:hAnsi="Calibri" w:cs="Calibri"/>
          <w:b/>
          <w:sz w:val="22"/>
          <w:szCs w:val="22"/>
          <w:lang w:val="bg-BG"/>
        </w:rPr>
        <w:t xml:space="preserve"> :</w:t>
      </w:r>
    </w:p>
    <w:p w14:paraId="6D94427E" w14:textId="0834764C" w:rsidR="00015EA4" w:rsidRDefault="003158B2" w:rsidP="00015EA4">
      <w:pPr>
        <w:jc w:val="both"/>
        <w:rPr>
          <w:rFonts w:ascii="Calibri" w:hAnsi="Calibri" w:cs="Calibri"/>
          <w:sz w:val="22"/>
          <w:szCs w:val="22"/>
          <w:lang w:val="bg-BG"/>
        </w:rPr>
      </w:pPr>
      <w:r w:rsidRPr="00CB6340">
        <w:rPr>
          <w:rFonts w:ascii="Calibri" w:hAnsi="Calibri" w:cs="Calibri"/>
          <w:sz w:val="22"/>
          <w:szCs w:val="22"/>
          <w:lang w:val="bg-BG"/>
        </w:rPr>
        <w:t xml:space="preserve">През отчетния период </w:t>
      </w:r>
      <w:r w:rsidR="00015EA4" w:rsidRPr="00CB6340">
        <w:rPr>
          <w:rFonts w:ascii="Calibri" w:hAnsi="Calibri" w:cs="Calibri"/>
          <w:sz w:val="22"/>
          <w:szCs w:val="22"/>
          <w:lang w:val="bg-BG"/>
        </w:rPr>
        <w:t xml:space="preserve">Дружеството </w:t>
      </w:r>
      <w:r w:rsidR="002C2D77">
        <w:rPr>
          <w:rFonts w:ascii="Calibri" w:hAnsi="Calibri" w:cs="Calibri"/>
          <w:sz w:val="22"/>
          <w:szCs w:val="22"/>
          <w:lang w:val="bg-BG"/>
        </w:rPr>
        <w:t>няма</w:t>
      </w:r>
      <w:r w:rsidR="00015EA4" w:rsidRPr="00CB6340">
        <w:rPr>
          <w:rFonts w:ascii="Calibri" w:hAnsi="Calibri" w:cs="Calibri"/>
          <w:sz w:val="22"/>
          <w:szCs w:val="22"/>
          <w:lang w:val="bg-BG"/>
        </w:rPr>
        <w:t xml:space="preserve"> придоби</w:t>
      </w:r>
      <w:r w:rsidR="002C2D77">
        <w:rPr>
          <w:rFonts w:ascii="Calibri" w:hAnsi="Calibri" w:cs="Calibri"/>
          <w:sz w:val="22"/>
          <w:szCs w:val="22"/>
          <w:lang w:val="bg-BG"/>
        </w:rPr>
        <w:t>ти</w:t>
      </w:r>
      <w:r w:rsidR="00015EA4" w:rsidRPr="00CB6340">
        <w:rPr>
          <w:rFonts w:ascii="Calibri" w:hAnsi="Calibri" w:cs="Calibri"/>
          <w:sz w:val="22"/>
          <w:szCs w:val="22"/>
          <w:lang w:val="bg-BG"/>
        </w:rPr>
        <w:t xml:space="preserve"> земеделски земи</w:t>
      </w:r>
      <w:r w:rsidR="006C755B" w:rsidRPr="00CB6340">
        <w:rPr>
          <w:rFonts w:ascii="Calibri" w:hAnsi="Calibri" w:cs="Calibri"/>
          <w:sz w:val="22"/>
          <w:szCs w:val="22"/>
          <w:lang w:val="bg-BG"/>
        </w:rPr>
        <w:t>.</w:t>
      </w:r>
      <w:r w:rsidR="00015EA4" w:rsidRPr="00015EA4">
        <w:rPr>
          <w:rFonts w:ascii="Calibri" w:hAnsi="Calibri" w:cs="Calibri"/>
          <w:sz w:val="22"/>
          <w:szCs w:val="22"/>
          <w:lang w:val="bg-BG"/>
        </w:rPr>
        <w:t xml:space="preserve"> </w:t>
      </w:r>
    </w:p>
    <w:p w14:paraId="0C10C0B3" w14:textId="77777777" w:rsidR="002C2D77" w:rsidRPr="00015EA4" w:rsidRDefault="002C2D77" w:rsidP="00015EA4">
      <w:pPr>
        <w:jc w:val="both"/>
        <w:rPr>
          <w:rFonts w:ascii="Calibri" w:hAnsi="Calibri" w:cs="Calibri"/>
          <w:sz w:val="22"/>
          <w:szCs w:val="22"/>
          <w:lang w:val="bg-BG"/>
        </w:rPr>
      </w:pPr>
    </w:p>
    <w:p w14:paraId="5577562F" w14:textId="33166648" w:rsidR="002C2D77" w:rsidRPr="002C2D77" w:rsidRDefault="002C2D77" w:rsidP="002C2D77">
      <w:pPr>
        <w:ind w:left="340" w:right="340"/>
        <w:jc w:val="both"/>
        <w:rPr>
          <w:rFonts w:ascii="Calibri" w:hAnsi="Calibri" w:cs="Calibri"/>
          <w:sz w:val="22"/>
          <w:szCs w:val="22"/>
          <w:lang w:val="ru-RU"/>
        </w:rPr>
      </w:pPr>
      <w:r w:rsidRPr="002C2D77">
        <w:rPr>
          <w:rFonts w:ascii="Calibri" w:hAnsi="Calibri" w:cs="Calibri"/>
          <w:sz w:val="22"/>
          <w:szCs w:val="22"/>
          <w:lang w:val="bg-BG"/>
        </w:rPr>
        <w:t xml:space="preserve">През месец декември 2025г. Дружеството е сключило предварителен договор за продажба на поземлен имот имот – земеделска земя </w:t>
      </w:r>
      <w:r w:rsidRPr="002C2D77">
        <w:rPr>
          <w:rFonts w:ascii="Calibri" w:hAnsi="Calibri" w:cs="Calibri"/>
          <w:sz w:val="22"/>
          <w:szCs w:val="22"/>
          <w:lang w:val="ru-RU"/>
        </w:rPr>
        <w:t xml:space="preserve">с начин на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трайно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ползване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Стопански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двор,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ведно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с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дърводелска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работилница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ярмомелка</w:t>
      </w:r>
      <w:proofErr w:type="spellEnd"/>
      <w:r w:rsidRPr="002C2D77">
        <w:rPr>
          <w:rFonts w:ascii="Calibri" w:hAnsi="Calibri" w:cs="Calibri"/>
          <w:b/>
          <w:sz w:val="22"/>
          <w:szCs w:val="22"/>
          <w:lang w:val="ru-RU"/>
        </w:rPr>
        <w:t xml:space="preserve"> с </w:t>
      </w:r>
      <w:proofErr w:type="spellStart"/>
      <w:r w:rsidRPr="002C2D77">
        <w:rPr>
          <w:rFonts w:ascii="Calibri" w:hAnsi="Calibri" w:cs="Calibri"/>
          <w:b/>
          <w:sz w:val="22"/>
          <w:szCs w:val="22"/>
          <w:lang w:val="ru-RU"/>
        </w:rPr>
        <w:t>площ</w:t>
      </w:r>
      <w:proofErr w:type="spellEnd"/>
      <w:r w:rsidRPr="002C2D77">
        <w:rPr>
          <w:rFonts w:ascii="Calibri" w:hAnsi="Calibri" w:cs="Calibri"/>
          <w:b/>
          <w:sz w:val="22"/>
          <w:szCs w:val="22"/>
          <w:lang w:val="ru-RU"/>
        </w:rPr>
        <w:t xml:space="preserve"> 278 кв. м.  за </w:t>
      </w:r>
      <w:proofErr w:type="spellStart"/>
      <w:r w:rsidRPr="002C2D77">
        <w:rPr>
          <w:rFonts w:ascii="Calibri" w:hAnsi="Calibri" w:cs="Calibri"/>
          <w:b/>
          <w:sz w:val="22"/>
          <w:szCs w:val="22"/>
          <w:lang w:val="ru-RU"/>
        </w:rPr>
        <w:t>сумата</w:t>
      </w:r>
      <w:proofErr w:type="spellEnd"/>
      <w:r w:rsidRPr="002C2D77">
        <w:rPr>
          <w:rFonts w:ascii="Calibri" w:hAnsi="Calibri" w:cs="Calibri"/>
          <w:b/>
          <w:sz w:val="22"/>
          <w:szCs w:val="22"/>
          <w:lang w:val="ru-RU"/>
        </w:rPr>
        <w:t xml:space="preserve"> от 51 хил. евро. </w:t>
      </w:r>
      <w:proofErr w:type="gramStart"/>
      <w:r w:rsidRPr="002C2D77">
        <w:rPr>
          <w:rFonts w:ascii="Calibri" w:hAnsi="Calibri" w:cs="Calibri"/>
          <w:sz w:val="22"/>
          <w:szCs w:val="22"/>
          <w:lang w:val="ru-RU"/>
        </w:rPr>
        <w:t>без  включен</w:t>
      </w:r>
      <w:proofErr w:type="gramEnd"/>
      <w:r w:rsidRPr="002C2D77">
        <w:rPr>
          <w:rFonts w:ascii="Calibri" w:hAnsi="Calibri" w:cs="Calibri"/>
          <w:sz w:val="22"/>
          <w:szCs w:val="22"/>
          <w:lang w:val="ru-RU"/>
        </w:rPr>
        <w:t xml:space="preserve"> ДДС.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Прехвърлянето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собствеността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е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извършено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C2D77">
        <w:rPr>
          <w:rFonts w:ascii="Calibri" w:hAnsi="Calibri" w:cs="Calibri"/>
          <w:sz w:val="22"/>
          <w:szCs w:val="22"/>
          <w:lang w:val="ru-RU"/>
        </w:rPr>
        <w:t>през</w:t>
      </w:r>
      <w:proofErr w:type="spellEnd"/>
      <w:r w:rsidRPr="002C2D77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proofErr w:type="gramStart"/>
      <w:r w:rsidRPr="002C2D77">
        <w:rPr>
          <w:rFonts w:ascii="Calibri" w:hAnsi="Calibri" w:cs="Calibri"/>
          <w:sz w:val="22"/>
          <w:szCs w:val="22"/>
          <w:lang w:val="ru-RU"/>
        </w:rPr>
        <w:t>м.февруари</w:t>
      </w:r>
      <w:proofErr w:type="spellEnd"/>
      <w:proofErr w:type="gramEnd"/>
      <w:r w:rsidRPr="002C2D77">
        <w:rPr>
          <w:rFonts w:ascii="Calibri" w:hAnsi="Calibri" w:cs="Calibri"/>
          <w:sz w:val="22"/>
          <w:szCs w:val="22"/>
          <w:lang w:val="ru-RU"/>
        </w:rPr>
        <w:t xml:space="preserve"> 2026г.</w:t>
      </w:r>
    </w:p>
    <w:p w14:paraId="6BC7BBFB" w14:textId="77777777" w:rsidR="001449A7" w:rsidRDefault="001449A7" w:rsidP="00976336">
      <w:pPr>
        <w:jc w:val="both"/>
        <w:rPr>
          <w:rFonts w:ascii="Calibri" w:hAnsi="Calibri" w:cs="Calibri"/>
          <w:sz w:val="22"/>
          <w:szCs w:val="22"/>
          <w:lang w:val="bg-BG"/>
        </w:rPr>
      </w:pPr>
    </w:p>
    <w:p w14:paraId="782C7BAA" w14:textId="77777777" w:rsidR="00BE7916" w:rsidRPr="005B75B5" w:rsidRDefault="00BE7916" w:rsidP="00BE7916">
      <w:pPr>
        <w:ind w:left="340" w:right="340"/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5B75B5">
        <w:rPr>
          <w:rFonts w:ascii="Calibri" w:hAnsi="Calibri" w:cs="Calibri"/>
          <w:sz w:val="22"/>
          <w:szCs w:val="22"/>
          <w:lang w:val="ru-RU"/>
        </w:rPr>
        <w:t>Балансовата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B75B5">
        <w:rPr>
          <w:rFonts w:ascii="Calibri" w:hAnsi="Calibri" w:cs="Calibri"/>
          <w:sz w:val="22"/>
          <w:szCs w:val="22"/>
          <w:lang w:val="ru-RU"/>
        </w:rPr>
        <w:t>стойност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5B75B5">
        <w:rPr>
          <w:rFonts w:ascii="Calibri" w:hAnsi="Calibri" w:cs="Calibri"/>
          <w:sz w:val="22"/>
          <w:szCs w:val="22"/>
          <w:lang w:val="ru-RU"/>
        </w:rPr>
        <w:t>инвестиционните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B75B5">
        <w:rPr>
          <w:rFonts w:ascii="Calibri" w:hAnsi="Calibri" w:cs="Calibri"/>
          <w:sz w:val="22"/>
          <w:szCs w:val="22"/>
          <w:lang w:val="ru-RU"/>
        </w:rPr>
        <w:t>имоти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B75B5">
        <w:rPr>
          <w:rFonts w:ascii="Calibri" w:hAnsi="Calibri" w:cs="Calibri"/>
          <w:sz w:val="22"/>
          <w:szCs w:val="22"/>
          <w:lang w:val="ru-RU"/>
        </w:rPr>
        <w:t>притежавани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5B75B5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proofErr w:type="gramStart"/>
      <w:r w:rsidRPr="005B75B5">
        <w:rPr>
          <w:rFonts w:ascii="Calibri" w:hAnsi="Calibri" w:cs="Calibri"/>
          <w:sz w:val="22"/>
          <w:szCs w:val="22"/>
          <w:lang w:val="ru-RU"/>
        </w:rPr>
        <w:t>към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 xml:space="preserve">  31.</w:t>
      </w:r>
      <w:r>
        <w:rPr>
          <w:rFonts w:ascii="Calibri" w:hAnsi="Calibri" w:cs="Calibri"/>
          <w:sz w:val="22"/>
          <w:szCs w:val="22"/>
          <w:lang w:val="ru-RU"/>
        </w:rPr>
        <w:t>03</w:t>
      </w:r>
      <w:r w:rsidRPr="005B75B5">
        <w:rPr>
          <w:rFonts w:ascii="Calibri" w:hAnsi="Calibri" w:cs="Calibri"/>
          <w:sz w:val="22"/>
          <w:szCs w:val="22"/>
          <w:lang w:val="ru-RU"/>
        </w:rPr>
        <w:t>.202</w:t>
      </w:r>
      <w:r>
        <w:rPr>
          <w:rFonts w:ascii="Calibri" w:hAnsi="Calibri" w:cs="Calibri"/>
          <w:sz w:val="22"/>
          <w:szCs w:val="22"/>
          <w:lang w:val="ru-RU"/>
        </w:rPr>
        <w:t>6</w:t>
      </w:r>
      <w:r w:rsidRPr="005B75B5">
        <w:rPr>
          <w:rFonts w:ascii="Calibri" w:hAnsi="Calibri" w:cs="Calibri"/>
          <w:sz w:val="22"/>
          <w:szCs w:val="22"/>
          <w:lang w:val="ru-RU"/>
        </w:rPr>
        <w:t>г.</w:t>
      </w:r>
      <w:proofErr w:type="gramEnd"/>
      <w:r w:rsidRPr="005B75B5">
        <w:rPr>
          <w:rFonts w:ascii="Calibri" w:hAnsi="Calibri" w:cs="Calibri"/>
          <w:sz w:val="22"/>
          <w:szCs w:val="22"/>
          <w:lang w:val="ru-RU"/>
        </w:rPr>
        <w:t xml:space="preserve"> е в </w:t>
      </w:r>
      <w:proofErr w:type="gramStart"/>
      <w:r w:rsidRPr="005B75B5">
        <w:rPr>
          <w:rFonts w:ascii="Calibri" w:hAnsi="Calibri" w:cs="Calibri"/>
          <w:sz w:val="22"/>
          <w:szCs w:val="22"/>
          <w:lang w:val="ru-RU"/>
        </w:rPr>
        <w:t>размер  на</w:t>
      </w:r>
      <w:proofErr w:type="gramEnd"/>
      <w:r w:rsidRPr="005B75B5">
        <w:rPr>
          <w:rFonts w:ascii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sz w:val="22"/>
          <w:szCs w:val="22"/>
          <w:lang w:val="ru-RU"/>
        </w:rPr>
        <w:t>6 370</w:t>
      </w:r>
      <w:r w:rsidRPr="009713A8">
        <w:rPr>
          <w:rFonts w:ascii="Calibri" w:hAnsi="Calibri" w:cs="Calibri"/>
          <w:b/>
          <w:sz w:val="22"/>
          <w:szCs w:val="22"/>
          <w:lang w:val="ru-RU"/>
        </w:rPr>
        <w:t xml:space="preserve"> хил. </w:t>
      </w:r>
      <w:r>
        <w:rPr>
          <w:rFonts w:ascii="Calibri" w:hAnsi="Calibri" w:cs="Calibri"/>
          <w:b/>
          <w:sz w:val="22"/>
          <w:szCs w:val="22"/>
          <w:lang w:val="ru-RU"/>
        </w:rPr>
        <w:t>евро</w:t>
      </w:r>
      <w:r w:rsidRPr="005B75B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B75B5">
        <w:rPr>
          <w:rFonts w:ascii="Calibri" w:hAnsi="Calibri" w:cs="Calibri"/>
          <w:sz w:val="22"/>
          <w:szCs w:val="22"/>
          <w:lang w:val="ru-RU"/>
        </w:rPr>
        <w:t>разпределени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B75B5">
        <w:rPr>
          <w:rFonts w:ascii="Calibri" w:hAnsi="Calibri" w:cs="Calibri"/>
          <w:sz w:val="22"/>
          <w:szCs w:val="22"/>
          <w:lang w:val="ru-RU"/>
        </w:rPr>
        <w:t>както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B75B5">
        <w:rPr>
          <w:rFonts w:ascii="Calibri" w:hAnsi="Calibri" w:cs="Calibri"/>
          <w:sz w:val="22"/>
          <w:szCs w:val="22"/>
          <w:lang w:val="ru-RU"/>
        </w:rPr>
        <w:t>следва</w:t>
      </w:r>
      <w:proofErr w:type="spellEnd"/>
      <w:r w:rsidRPr="005B75B5">
        <w:rPr>
          <w:rFonts w:ascii="Calibri" w:hAnsi="Calibri" w:cs="Calibri"/>
          <w:sz w:val="22"/>
          <w:szCs w:val="22"/>
          <w:lang w:val="ru-RU"/>
        </w:rPr>
        <w:t>:</w:t>
      </w:r>
    </w:p>
    <w:p w14:paraId="5D9125E3" w14:textId="77777777" w:rsidR="00BE7916" w:rsidRPr="009713A8" w:rsidRDefault="00BE7916" w:rsidP="00BE7916">
      <w:pPr>
        <w:jc w:val="both"/>
        <w:rPr>
          <w:rFonts w:ascii="Calibri" w:hAnsi="Calibri" w:cs="Calibri"/>
          <w:sz w:val="22"/>
          <w:szCs w:val="22"/>
          <w:lang w:val="bg-BG"/>
        </w:rPr>
      </w:pPr>
    </w:p>
    <w:p w14:paraId="24675C7E" w14:textId="2FAB6B16" w:rsidR="00BE7916" w:rsidRDefault="00BE7916" w:rsidP="00BE7916">
      <w:pPr>
        <w:numPr>
          <w:ilvl w:val="0"/>
          <w:numId w:val="1"/>
        </w:numPr>
        <w:tabs>
          <w:tab w:val="num" w:pos="0"/>
        </w:tabs>
        <w:jc w:val="both"/>
        <w:rPr>
          <w:rFonts w:ascii="Calibri" w:hAnsi="Calibri" w:cs="Calibri"/>
          <w:b/>
          <w:sz w:val="22"/>
          <w:szCs w:val="22"/>
          <w:lang w:val="ru-RU"/>
        </w:rPr>
      </w:pPr>
      <w:proofErr w:type="spellStart"/>
      <w:r w:rsidRPr="009713A8">
        <w:rPr>
          <w:rFonts w:ascii="Calibri" w:hAnsi="Calibri" w:cs="Calibri"/>
          <w:sz w:val="22"/>
          <w:szCs w:val="22"/>
          <w:lang w:val="ru-RU"/>
        </w:rPr>
        <w:t>инвестиционни</w:t>
      </w:r>
      <w:proofErr w:type="spellEnd"/>
      <w:r w:rsidRPr="009713A8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9713A8">
        <w:rPr>
          <w:rFonts w:ascii="Calibri" w:hAnsi="Calibri" w:cs="Calibri"/>
          <w:sz w:val="22"/>
          <w:szCs w:val="22"/>
          <w:lang w:val="ru-RU"/>
        </w:rPr>
        <w:t>имоти</w:t>
      </w:r>
      <w:proofErr w:type="spellEnd"/>
      <w:r w:rsidRPr="009713A8">
        <w:rPr>
          <w:rFonts w:ascii="Calibri" w:hAnsi="Calibri" w:cs="Calibri"/>
          <w:sz w:val="22"/>
          <w:szCs w:val="22"/>
          <w:lang w:val="ru-RU"/>
        </w:rPr>
        <w:t xml:space="preserve"> – </w:t>
      </w:r>
      <w:proofErr w:type="spellStart"/>
      <w:r w:rsidRPr="009713A8">
        <w:rPr>
          <w:rFonts w:ascii="Calibri" w:hAnsi="Calibri" w:cs="Calibri"/>
          <w:sz w:val="22"/>
          <w:szCs w:val="22"/>
          <w:lang w:val="ru-RU"/>
        </w:rPr>
        <w:t>земеделски</w:t>
      </w:r>
      <w:proofErr w:type="spellEnd"/>
      <w:r w:rsidRPr="009713A8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9713A8">
        <w:rPr>
          <w:rFonts w:ascii="Calibri" w:hAnsi="Calibri" w:cs="Calibri"/>
          <w:sz w:val="22"/>
          <w:szCs w:val="22"/>
          <w:lang w:val="ru-RU"/>
        </w:rPr>
        <w:t>земи</w:t>
      </w:r>
      <w:proofErr w:type="spellEnd"/>
      <w:r w:rsidRPr="009713A8">
        <w:rPr>
          <w:rFonts w:ascii="Calibri" w:hAnsi="Calibri" w:cs="Calibri"/>
          <w:b/>
          <w:sz w:val="22"/>
          <w:szCs w:val="22"/>
          <w:lang w:val="ru-RU"/>
        </w:rPr>
        <w:t xml:space="preserve"> 5 333 </w:t>
      </w:r>
      <w:proofErr w:type="spellStart"/>
      <w:r w:rsidRPr="009713A8">
        <w:rPr>
          <w:rFonts w:ascii="Calibri" w:hAnsi="Calibri" w:cs="Calibri"/>
          <w:b/>
          <w:sz w:val="22"/>
          <w:szCs w:val="22"/>
          <w:lang w:val="ru-RU"/>
        </w:rPr>
        <w:t>дка</w:t>
      </w:r>
      <w:proofErr w:type="spellEnd"/>
      <w:r w:rsidRPr="009713A8">
        <w:rPr>
          <w:rFonts w:ascii="Calibri" w:hAnsi="Calibri" w:cs="Calibri"/>
          <w:b/>
          <w:sz w:val="22"/>
          <w:szCs w:val="22"/>
          <w:lang w:val="ru-RU"/>
        </w:rPr>
        <w:t xml:space="preserve"> – </w:t>
      </w:r>
      <w:r>
        <w:rPr>
          <w:rFonts w:ascii="Calibri" w:hAnsi="Calibri" w:cs="Calibri"/>
          <w:b/>
          <w:sz w:val="22"/>
          <w:szCs w:val="22"/>
          <w:lang w:val="ru-RU"/>
        </w:rPr>
        <w:t xml:space="preserve">6 </w:t>
      </w:r>
      <w:proofErr w:type="gramStart"/>
      <w:r>
        <w:rPr>
          <w:rFonts w:ascii="Calibri" w:hAnsi="Calibri" w:cs="Calibri"/>
          <w:b/>
          <w:sz w:val="22"/>
          <w:szCs w:val="22"/>
          <w:lang w:val="ru-RU"/>
        </w:rPr>
        <w:t>096</w:t>
      </w:r>
      <w:r w:rsidRPr="009713A8">
        <w:rPr>
          <w:rFonts w:ascii="Calibri" w:hAnsi="Calibri" w:cs="Calibri"/>
          <w:b/>
          <w:sz w:val="22"/>
          <w:szCs w:val="22"/>
          <w:lang w:val="ru-RU"/>
        </w:rPr>
        <w:t xml:space="preserve">  хил</w:t>
      </w:r>
      <w:proofErr w:type="gramEnd"/>
      <w:r w:rsidRPr="009713A8">
        <w:rPr>
          <w:rFonts w:ascii="Calibri" w:hAnsi="Calibri" w:cs="Calibri"/>
          <w:b/>
          <w:sz w:val="22"/>
          <w:szCs w:val="22"/>
          <w:lang w:val="ru-RU"/>
        </w:rPr>
        <w:t xml:space="preserve">. </w:t>
      </w:r>
      <w:r w:rsidR="00972A87">
        <w:rPr>
          <w:rFonts w:ascii="Calibri" w:hAnsi="Calibri" w:cs="Calibri"/>
          <w:b/>
          <w:sz w:val="22"/>
          <w:szCs w:val="22"/>
          <w:lang w:val="ru-RU"/>
        </w:rPr>
        <w:t>Е</w:t>
      </w:r>
      <w:r>
        <w:rPr>
          <w:rFonts w:ascii="Calibri" w:hAnsi="Calibri" w:cs="Calibri"/>
          <w:b/>
          <w:sz w:val="22"/>
          <w:szCs w:val="22"/>
          <w:lang w:val="ru-RU"/>
        </w:rPr>
        <w:t>вро</w:t>
      </w:r>
    </w:p>
    <w:p w14:paraId="2C541E3F" w14:textId="77777777" w:rsidR="00BE7916" w:rsidRPr="00F66A38" w:rsidRDefault="00BE7916" w:rsidP="00BE7916">
      <w:pPr>
        <w:numPr>
          <w:ilvl w:val="0"/>
          <w:numId w:val="1"/>
        </w:numPr>
        <w:tabs>
          <w:tab w:val="num" w:pos="0"/>
        </w:tabs>
        <w:jc w:val="both"/>
        <w:rPr>
          <w:rFonts w:ascii="Calibri" w:hAnsi="Calibri" w:cs="Calibri"/>
          <w:sz w:val="22"/>
          <w:szCs w:val="22"/>
          <w:lang w:val="ru-RU"/>
        </w:rPr>
      </w:pPr>
      <w:r w:rsidRPr="009713A8">
        <w:rPr>
          <w:rFonts w:ascii="Calibri" w:hAnsi="Calibri" w:cs="Calibri"/>
          <w:sz w:val="22"/>
          <w:szCs w:val="22"/>
          <w:lang w:val="ru-RU"/>
        </w:rPr>
        <w:t xml:space="preserve">Магазин </w:t>
      </w:r>
      <w:proofErr w:type="spellStart"/>
      <w:r w:rsidRPr="009713A8">
        <w:rPr>
          <w:rFonts w:ascii="Calibri" w:hAnsi="Calibri" w:cs="Calibri"/>
          <w:sz w:val="22"/>
          <w:szCs w:val="22"/>
          <w:lang w:val="ru-RU"/>
        </w:rPr>
        <w:t>находящ</w:t>
      </w:r>
      <w:proofErr w:type="spellEnd"/>
      <w:r w:rsidRPr="009713A8">
        <w:rPr>
          <w:rFonts w:ascii="Calibri" w:hAnsi="Calibri" w:cs="Calibri"/>
          <w:sz w:val="22"/>
          <w:szCs w:val="22"/>
          <w:lang w:val="ru-RU"/>
        </w:rPr>
        <w:t xml:space="preserve"> се в </w:t>
      </w:r>
      <w:proofErr w:type="spellStart"/>
      <w:r w:rsidRPr="009713A8">
        <w:rPr>
          <w:rFonts w:ascii="Calibri" w:hAnsi="Calibri" w:cs="Calibri"/>
          <w:sz w:val="22"/>
          <w:szCs w:val="22"/>
          <w:lang w:val="ru-RU"/>
        </w:rPr>
        <w:t>к.к</w:t>
      </w:r>
      <w:proofErr w:type="spellEnd"/>
      <w:r w:rsidRPr="009713A8">
        <w:rPr>
          <w:rFonts w:ascii="Calibri" w:hAnsi="Calibri" w:cs="Calibri"/>
          <w:sz w:val="22"/>
          <w:szCs w:val="22"/>
          <w:lang w:val="ru-RU"/>
        </w:rPr>
        <w:t xml:space="preserve">. </w:t>
      </w:r>
      <w:proofErr w:type="spellStart"/>
      <w:r w:rsidRPr="009713A8">
        <w:rPr>
          <w:rFonts w:ascii="Calibri" w:hAnsi="Calibri" w:cs="Calibri"/>
          <w:sz w:val="22"/>
          <w:szCs w:val="22"/>
          <w:lang w:val="ru-RU"/>
        </w:rPr>
        <w:t>Златни</w:t>
      </w:r>
      <w:proofErr w:type="spellEnd"/>
      <w:r w:rsidRPr="009713A8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9713A8">
        <w:rPr>
          <w:rFonts w:ascii="Calibri" w:hAnsi="Calibri" w:cs="Calibri"/>
          <w:sz w:val="22"/>
          <w:szCs w:val="22"/>
          <w:lang w:val="ru-RU"/>
        </w:rPr>
        <w:t>пясъци</w:t>
      </w:r>
      <w:proofErr w:type="spellEnd"/>
      <w:r w:rsidRPr="009713A8">
        <w:rPr>
          <w:rFonts w:ascii="Calibri" w:hAnsi="Calibri" w:cs="Calibri"/>
          <w:sz w:val="22"/>
          <w:szCs w:val="22"/>
          <w:lang w:val="ru-RU"/>
        </w:rPr>
        <w:t xml:space="preserve">, гр. Варна, общ. Варна, обл. </w:t>
      </w:r>
      <w:proofErr w:type="spellStart"/>
      <w:r w:rsidRPr="009713A8">
        <w:rPr>
          <w:rFonts w:ascii="Calibri" w:hAnsi="Calibri" w:cs="Calibri"/>
          <w:sz w:val="22"/>
          <w:szCs w:val="22"/>
          <w:lang w:val="ru-RU"/>
        </w:rPr>
        <w:t>Варненска</w:t>
      </w:r>
      <w:proofErr w:type="spellEnd"/>
      <w:r w:rsidRPr="009713A8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F66A38">
        <w:rPr>
          <w:rFonts w:ascii="Calibri" w:hAnsi="Calibri" w:cs="Calibri"/>
          <w:sz w:val="22"/>
          <w:szCs w:val="22"/>
          <w:lang w:val="ru-RU"/>
        </w:rPr>
        <w:t xml:space="preserve">с </w:t>
      </w:r>
      <w:proofErr w:type="spellStart"/>
      <w:proofErr w:type="gramStart"/>
      <w:r w:rsidRPr="00F66A38">
        <w:rPr>
          <w:rFonts w:ascii="Calibri" w:hAnsi="Calibri" w:cs="Calibri"/>
          <w:sz w:val="22"/>
          <w:szCs w:val="22"/>
          <w:lang w:val="ru-RU"/>
        </w:rPr>
        <w:t>площ</w:t>
      </w:r>
      <w:proofErr w:type="spellEnd"/>
      <w:r w:rsidRPr="00F66A38">
        <w:rPr>
          <w:rFonts w:ascii="Calibri" w:hAnsi="Calibri" w:cs="Calibri"/>
          <w:sz w:val="22"/>
          <w:szCs w:val="22"/>
          <w:lang w:val="ru-RU"/>
        </w:rPr>
        <w:t xml:space="preserve">  50</w:t>
      </w:r>
      <w:proofErr w:type="gramEnd"/>
      <w:r w:rsidRPr="00F66A38">
        <w:rPr>
          <w:rFonts w:ascii="Calibri" w:hAnsi="Calibri" w:cs="Calibri"/>
          <w:sz w:val="22"/>
          <w:szCs w:val="22"/>
          <w:lang w:val="ru-RU"/>
        </w:rPr>
        <w:t>,66 кв. м. – 274 хил. евро</w:t>
      </w:r>
    </w:p>
    <w:p w14:paraId="2752822B" w14:textId="77777777" w:rsidR="00BE7916" w:rsidRDefault="00BE7916" w:rsidP="00976336">
      <w:pPr>
        <w:jc w:val="both"/>
        <w:rPr>
          <w:rFonts w:ascii="Calibri" w:hAnsi="Calibri" w:cs="Calibri"/>
          <w:sz w:val="22"/>
          <w:szCs w:val="22"/>
          <w:lang w:val="bg-BG"/>
        </w:rPr>
      </w:pPr>
    </w:p>
    <w:p w14:paraId="36CC6D40" w14:textId="77777777" w:rsidR="002E6396" w:rsidRPr="002E6396" w:rsidRDefault="002E6396" w:rsidP="002E6396">
      <w:pPr>
        <w:tabs>
          <w:tab w:val="num" w:pos="839"/>
        </w:tabs>
        <w:suppressAutoHyphens/>
        <w:ind w:left="1276" w:right="238"/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tbl>
      <w:tblPr>
        <w:tblW w:w="7315" w:type="dxa"/>
        <w:tblCellSpacing w:w="15" w:type="dxa"/>
        <w:tblInd w:w="95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8"/>
        <w:gridCol w:w="860"/>
        <w:gridCol w:w="1577"/>
      </w:tblGrid>
      <w:tr w:rsidR="002E6396" w:rsidRPr="002E6396" w14:paraId="443761CC" w14:textId="77777777" w:rsidTr="002E6396">
        <w:trPr>
          <w:trHeight w:val="175"/>
          <w:tblCellSpacing w:w="15" w:type="dxa"/>
        </w:trPr>
        <w:tc>
          <w:tcPr>
            <w:tcW w:w="4833" w:type="dxa"/>
            <w:vAlign w:val="center"/>
          </w:tcPr>
          <w:p w14:paraId="0A06C7EA" w14:textId="77777777" w:rsidR="002E6396" w:rsidRPr="002E6396" w:rsidRDefault="002E6396" w:rsidP="002E6396">
            <w:pPr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</w:pPr>
            <w:proofErr w:type="spell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Средна</w:t>
            </w:r>
            <w:proofErr w:type="spellEnd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 xml:space="preserve"> </w:t>
            </w:r>
            <w:proofErr w:type="spell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площ</w:t>
            </w:r>
            <w:proofErr w:type="spellEnd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 xml:space="preserve"> на </w:t>
            </w:r>
            <w:proofErr w:type="spell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имот</w:t>
            </w:r>
            <w:proofErr w:type="spellEnd"/>
          </w:p>
        </w:tc>
        <w:tc>
          <w:tcPr>
            <w:tcW w:w="830" w:type="dxa"/>
            <w:vAlign w:val="center"/>
          </w:tcPr>
          <w:p w14:paraId="41301494" w14:textId="77777777" w:rsidR="002E6396" w:rsidRPr="002E6396" w:rsidRDefault="002E6396" w:rsidP="002E639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9.</w:t>
            </w:r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eastAsia="bg-BG"/>
              </w:rPr>
              <w:t>0</w:t>
            </w:r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9</w:t>
            </w:r>
          </w:p>
        </w:tc>
        <w:tc>
          <w:tcPr>
            <w:tcW w:w="1532" w:type="dxa"/>
            <w:vAlign w:val="center"/>
          </w:tcPr>
          <w:p w14:paraId="6C9250EC" w14:textId="77777777" w:rsidR="002E6396" w:rsidRPr="002E6396" w:rsidRDefault="002E6396" w:rsidP="002E639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</w:pPr>
            <w:proofErr w:type="spell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дка</w:t>
            </w:r>
            <w:proofErr w:type="spellEnd"/>
          </w:p>
        </w:tc>
      </w:tr>
      <w:tr w:rsidR="002E6396" w:rsidRPr="002E6396" w14:paraId="2654A610" w14:textId="77777777" w:rsidTr="002E6396">
        <w:trPr>
          <w:trHeight w:val="175"/>
          <w:tblCellSpacing w:w="15" w:type="dxa"/>
        </w:trPr>
        <w:tc>
          <w:tcPr>
            <w:tcW w:w="4833" w:type="dxa"/>
            <w:vAlign w:val="center"/>
          </w:tcPr>
          <w:p w14:paraId="1BAFB6E3" w14:textId="77777777" w:rsidR="002E6396" w:rsidRPr="002E6396" w:rsidRDefault="002E6396" w:rsidP="002E6396">
            <w:pPr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</w:pPr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 xml:space="preserve">Усреднена категория на </w:t>
            </w:r>
            <w:proofErr w:type="spell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земите</w:t>
            </w:r>
            <w:proofErr w:type="spellEnd"/>
          </w:p>
        </w:tc>
        <w:tc>
          <w:tcPr>
            <w:tcW w:w="830" w:type="dxa"/>
            <w:vAlign w:val="center"/>
          </w:tcPr>
          <w:p w14:paraId="3F07EBE5" w14:textId="77777777" w:rsidR="002E6396" w:rsidRPr="002E6396" w:rsidRDefault="002E6396" w:rsidP="002E639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bg-BG"/>
              </w:rPr>
            </w:pPr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5</w:t>
            </w:r>
          </w:p>
        </w:tc>
        <w:tc>
          <w:tcPr>
            <w:tcW w:w="1532" w:type="dxa"/>
            <w:vAlign w:val="center"/>
          </w:tcPr>
          <w:p w14:paraId="2DF18A55" w14:textId="77777777" w:rsidR="002E6396" w:rsidRPr="002E6396" w:rsidRDefault="002E6396" w:rsidP="002E639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</w:pPr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(1-10) к</w:t>
            </w:r>
          </w:p>
        </w:tc>
      </w:tr>
      <w:tr w:rsidR="002E6396" w:rsidRPr="002E6396" w14:paraId="425FAA09" w14:textId="77777777" w:rsidTr="002E6396">
        <w:trPr>
          <w:trHeight w:val="175"/>
          <w:tblCellSpacing w:w="15" w:type="dxa"/>
        </w:trPr>
        <w:tc>
          <w:tcPr>
            <w:tcW w:w="4833" w:type="dxa"/>
            <w:vAlign w:val="center"/>
          </w:tcPr>
          <w:p w14:paraId="18737CB8" w14:textId="77777777" w:rsidR="002E6396" w:rsidRPr="002E6396" w:rsidRDefault="002E6396" w:rsidP="002E6396">
            <w:pPr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</w:pPr>
            <w:proofErr w:type="spell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Средна</w:t>
            </w:r>
            <w:proofErr w:type="spellEnd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 xml:space="preserve"> цена</w:t>
            </w:r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</w:t>
            </w:r>
            <w:proofErr w:type="gram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на </w:t>
            </w:r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 xml:space="preserve"> покупка</w:t>
            </w:r>
            <w:proofErr w:type="gramEnd"/>
          </w:p>
        </w:tc>
        <w:tc>
          <w:tcPr>
            <w:tcW w:w="830" w:type="dxa"/>
            <w:vAlign w:val="center"/>
          </w:tcPr>
          <w:p w14:paraId="21846E92" w14:textId="29743F71" w:rsidR="002E6396" w:rsidRPr="002E6396" w:rsidRDefault="00D80B26" w:rsidP="002E639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862</w:t>
            </w:r>
          </w:p>
        </w:tc>
        <w:tc>
          <w:tcPr>
            <w:tcW w:w="1532" w:type="dxa"/>
            <w:vAlign w:val="center"/>
          </w:tcPr>
          <w:p w14:paraId="709294B4" w14:textId="52362D05" w:rsidR="002E6396" w:rsidRPr="002E6396" w:rsidRDefault="00D80B26" w:rsidP="002E639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евро</w:t>
            </w:r>
            <w:r w:rsidR="002E6396"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/</w:t>
            </w:r>
            <w:proofErr w:type="spellStart"/>
            <w:r w:rsidR="002E6396"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дка</w:t>
            </w:r>
            <w:proofErr w:type="spellEnd"/>
          </w:p>
        </w:tc>
      </w:tr>
      <w:tr w:rsidR="002E6396" w:rsidRPr="002E6396" w14:paraId="59690CA1" w14:textId="77777777" w:rsidTr="002E6396">
        <w:trPr>
          <w:trHeight w:val="175"/>
          <w:tblCellSpacing w:w="15" w:type="dxa"/>
        </w:trPr>
        <w:tc>
          <w:tcPr>
            <w:tcW w:w="4833" w:type="dxa"/>
            <w:vAlign w:val="center"/>
          </w:tcPr>
          <w:p w14:paraId="6B0B03CB" w14:textId="77777777" w:rsidR="002E6396" w:rsidRPr="002E6396" w:rsidRDefault="002E6396" w:rsidP="002E6396">
            <w:pPr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</w:pPr>
            <w:proofErr w:type="spell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Средна</w:t>
            </w:r>
            <w:proofErr w:type="spellEnd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 xml:space="preserve"> </w:t>
            </w:r>
            <w:proofErr w:type="spell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крайна</w:t>
            </w:r>
            <w:proofErr w:type="spellEnd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 xml:space="preserve"> цена </w:t>
            </w:r>
            <w:proofErr w:type="gram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( вкл.</w:t>
            </w:r>
            <w:proofErr w:type="gramEnd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 xml:space="preserve"> </w:t>
            </w:r>
            <w:proofErr w:type="spellStart"/>
            <w:proofErr w:type="gramStart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>разходите</w:t>
            </w:r>
            <w:proofErr w:type="spellEnd"/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ru-RU" w:eastAsia="bg-BG"/>
              </w:rPr>
              <w:t xml:space="preserve"> )</w:t>
            </w:r>
            <w:proofErr w:type="gramEnd"/>
          </w:p>
        </w:tc>
        <w:tc>
          <w:tcPr>
            <w:tcW w:w="830" w:type="dxa"/>
            <w:vAlign w:val="center"/>
          </w:tcPr>
          <w:p w14:paraId="209D6B80" w14:textId="402C0E49" w:rsidR="002E6396" w:rsidRPr="002E6396" w:rsidRDefault="00D80B26" w:rsidP="002E639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893</w:t>
            </w:r>
          </w:p>
        </w:tc>
        <w:tc>
          <w:tcPr>
            <w:tcW w:w="1532" w:type="dxa"/>
            <w:vAlign w:val="center"/>
          </w:tcPr>
          <w:p w14:paraId="5231BE94" w14:textId="3083622B" w:rsidR="002E6396" w:rsidRPr="002E6396" w:rsidRDefault="00D80B26" w:rsidP="002E639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евро</w:t>
            </w:r>
            <w:r w:rsidR="002E6396" w:rsidRPr="002E6396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/дка</w:t>
            </w:r>
          </w:p>
        </w:tc>
      </w:tr>
      <w:tr w:rsidR="002E6396" w:rsidRPr="002E6396" w14:paraId="1646D772" w14:textId="77777777" w:rsidTr="002E6396">
        <w:trPr>
          <w:trHeight w:val="175"/>
          <w:tblCellSpacing w:w="15" w:type="dxa"/>
        </w:trPr>
        <w:tc>
          <w:tcPr>
            <w:tcW w:w="4833" w:type="dxa"/>
            <w:vAlign w:val="center"/>
          </w:tcPr>
          <w:p w14:paraId="2E1666AA" w14:textId="77777777" w:rsidR="002E6396" w:rsidRPr="002E6396" w:rsidRDefault="002E6396" w:rsidP="002E6396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E6396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Средна балансова цена ( след преоценка)</w:t>
            </w:r>
          </w:p>
        </w:tc>
        <w:tc>
          <w:tcPr>
            <w:tcW w:w="830" w:type="dxa"/>
            <w:vAlign w:val="center"/>
          </w:tcPr>
          <w:p w14:paraId="2C6D49FF" w14:textId="27025D1E" w:rsidR="002E6396" w:rsidRPr="00D80B26" w:rsidRDefault="00D80B26" w:rsidP="00BE791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1 143</w:t>
            </w:r>
          </w:p>
        </w:tc>
        <w:tc>
          <w:tcPr>
            <w:tcW w:w="1532" w:type="dxa"/>
            <w:vAlign w:val="center"/>
          </w:tcPr>
          <w:p w14:paraId="77BC84FD" w14:textId="3667A90A" w:rsidR="002E6396" w:rsidRPr="002E6396" w:rsidRDefault="00D80B26" w:rsidP="002E639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евро</w:t>
            </w:r>
            <w:r w:rsidR="002E6396" w:rsidRPr="002E6396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/дка</w:t>
            </w:r>
          </w:p>
        </w:tc>
      </w:tr>
    </w:tbl>
    <w:p w14:paraId="303B67DD" w14:textId="77777777" w:rsidR="007C4D99" w:rsidRDefault="007C4D99" w:rsidP="002E6396">
      <w:pPr>
        <w:spacing w:after="240"/>
        <w:jc w:val="both"/>
        <w:rPr>
          <w:rFonts w:ascii="Calibri" w:hAnsi="Calibri" w:cs="Calibri"/>
          <w:sz w:val="22"/>
          <w:szCs w:val="22"/>
          <w:lang w:val="bg-BG"/>
        </w:rPr>
      </w:pPr>
    </w:p>
    <w:p w14:paraId="36C3FBDE" w14:textId="5A3FB2E9" w:rsidR="002E6396" w:rsidRDefault="002E6396" w:rsidP="002E6396">
      <w:pPr>
        <w:spacing w:after="240"/>
        <w:jc w:val="both"/>
        <w:rPr>
          <w:rFonts w:ascii="Calibri" w:hAnsi="Calibri" w:cs="Calibri"/>
          <w:sz w:val="22"/>
          <w:szCs w:val="22"/>
          <w:lang w:val="bg-BG"/>
        </w:rPr>
      </w:pPr>
      <w:r w:rsidRPr="002E6396">
        <w:rPr>
          <w:rFonts w:ascii="Calibri" w:hAnsi="Calibri" w:cs="Calibri"/>
          <w:sz w:val="22"/>
          <w:szCs w:val="22"/>
          <w:lang w:val="bg-BG"/>
        </w:rPr>
        <w:t>Справедливата стойност на инвестиционните имоти – земеделски земи, е формирана на база средно претеглена стойност от направените оценки на земите от лицензирани независими оценители чрез метод на сравнителните продажби и чрез метод на поземлената рента.</w:t>
      </w:r>
    </w:p>
    <w:p w14:paraId="6EFD6937" w14:textId="77777777" w:rsidR="00972A87" w:rsidRPr="00972A87" w:rsidRDefault="00972A87" w:rsidP="00972A87">
      <w:pPr>
        <w:jc w:val="center"/>
        <w:rPr>
          <w:rFonts w:ascii="Calibri" w:hAnsi="Calibri" w:cs="Calibri"/>
          <w:sz w:val="22"/>
          <w:szCs w:val="22"/>
          <w:lang w:val="bg-BG"/>
        </w:rPr>
      </w:pPr>
      <w:r w:rsidRPr="00972A87">
        <w:rPr>
          <w:rFonts w:ascii="Calibri" w:hAnsi="Calibri" w:cs="Calibri"/>
          <w:sz w:val="22"/>
          <w:szCs w:val="22"/>
          <w:lang w:val="bg-BG"/>
        </w:rPr>
        <w:lastRenderedPageBreak/>
        <w:t>Разпределение на земеделските земи по области</w:t>
      </w:r>
    </w:p>
    <w:tbl>
      <w:tblPr>
        <w:tblW w:w="8349" w:type="dxa"/>
        <w:tblLayout w:type="fixed"/>
        <w:tblLook w:val="04A0" w:firstRow="1" w:lastRow="0" w:firstColumn="1" w:lastColumn="0" w:noHBand="0" w:noVBand="1"/>
      </w:tblPr>
      <w:tblGrid>
        <w:gridCol w:w="3763"/>
        <w:gridCol w:w="1901"/>
        <w:gridCol w:w="1227"/>
        <w:gridCol w:w="1458"/>
      </w:tblGrid>
      <w:tr w:rsidR="00972A87" w:rsidRPr="00972A87" w14:paraId="0E0309C8" w14:textId="77777777" w:rsidTr="00972A87">
        <w:trPr>
          <w:trHeight w:val="2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FA72" w14:textId="77777777" w:rsidR="00972A87" w:rsidRPr="00972A87" w:rsidRDefault="00972A87" w:rsidP="00972A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  <w:t>О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бласт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A3A8" w14:textId="77777777" w:rsidR="00972A87" w:rsidRPr="00972A87" w:rsidRDefault="00972A87" w:rsidP="00972A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Община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3F5F" w14:textId="77777777" w:rsidR="00972A87" w:rsidRPr="00972A87" w:rsidRDefault="00972A87" w:rsidP="00972A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дка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E318" w14:textId="77777777" w:rsidR="00972A87" w:rsidRPr="00972A87" w:rsidRDefault="00972A87" w:rsidP="00972A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портф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72A87" w:rsidRPr="00972A87" w14:paraId="2389942A" w14:textId="77777777" w:rsidTr="00972A87">
        <w:trPr>
          <w:trHeight w:val="2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ED03" w14:textId="77777777" w:rsidR="00972A87" w:rsidRPr="00972A87" w:rsidRDefault="00972A87" w:rsidP="00972A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35E23" w14:textId="77777777" w:rsidR="00972A87" w:rsidRPr="00972A87" w:rsidRDefault="00972A87" w:rsidP="00972A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F3A96" w14:textId="77777777" w:rsidR="00972A87" w:rsidRPr="00972A87" w:rsidRDefault="00972A87" w:rsidP="00972A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461D" w14:textId="77777777" w:rsidR="00972A87" w:rsidRPr="00972A87" w:rsidRDefault="00972A87" w:rsidP="00972A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2A87" w:rsidRPr="00972A87" w14:paraId="7A3C27E8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C9A0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Бургас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EC13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Бургас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4C94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29.000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7BAC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0.54</w:t>
            </w:r>
          </w:p>
        </w:tc>
      </w:tr>
      <w:tr w:rsidR="00972A87" w:rsidRPr="00972A87" w14:paraId="7B0549F2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F8D9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Бургас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898E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Сунгурларе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D5A4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20.250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D23C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</w:tr>
      <w:tr w:rsidR="00972A87" w:rsidRPr="00972A87" w14:paraId="766F9037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B663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Всичко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област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Бургас: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B5FA" w14:textId="77777777" w:rsidR="00972A87" w:rsidRPr="00972A87" w:rsidRDefault="00972A87" w:rsidP="0097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12A1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49.250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B062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0.92</w:t>
            </w:r>
          </w:p>
        </w:tc>
      </w:tr>
      <w:tr w:rsidR="00972A87" w:rsidRPr="00972A87" w14:paraId="1B947295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8E69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Варна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1282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Долни</w:t>
            </w:r>
            <w:proofErr w:type="spellEnd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Чифлик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E031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52.397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7EE8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0.98</w:t>
            </w:r>
          </w:p>
        </w:tc>
      </w:tr>
      <w:tr w:rsidR="00972A87" w:rsidRPr="00972A87" w14:paraId="6070BA84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91FA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Всичко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област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Варна: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E11C" w14:textId="77777777" w:rsidR="00972A87" w:rsidRPr="00972A87" w:rsidRDefault="00972A87" w:rsidP="00972A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2A8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DF57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52.397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E34C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0.98</w:t>
            </w:r>
          </w:p>
        </w:tc>
      </w:tr>
      <w:tr w:rsidR="00972A87" w:rsidRPr="00972A87" w14:paraId="2BBCA2E5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46F9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Габрово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A350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Севлиево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FA45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178.886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0A79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3.35</w:t>
            </w:r>
          </w:p>
        </w:tc>
      </w:tr>
      <w:tr w:rsidR="00972A87" w:rsidRPr="00972A87" w14:paraId="14F6EA44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E3FC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Всичко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област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Габрово: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2E9C" w14:textId="77777777" w:rsidR="00972A87" w:rsidRPr="00972A87" w:rsidRDefault="00972A87" w:rsidP="00972A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E73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178.886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4B48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3.35</w:t>
            </w:r>
          </w:p>
        </w:tc>
      </w:tr>
      <w:tr w:rsidR="00972A87" w:rsidRPr="00972A87" w14:paraId="0BB0B902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F5C3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Плевен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297C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Плевен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463F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1056.243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D4AC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19.80</w:t>
            </w:r>
          </w:p>
        </w:tc>
      </w:tr>
      <w:tr w:rsidR="00972A87" w:rsidRPr="00972A87" w14:paraId="3A3B2C19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3222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Всичко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област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Плевен: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02DE" w14:textId="77777777" w:rsidR="00972A87" w:rsidRPr="00972A87" w:rsidRDefault="00972A87" w:rsidP="00972A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C12F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1056.243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0D4D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19.80</w:t>
            </w:r>
          </w:p>
        </w:tc>
      </w:tr>
      <w:tr w:rsidR="00972A87" w:rsidRPr="00972A87" w14:paraId="461BB27B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8EDB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Стара</w:t>
            </w:r>
            <w:proofErr w:type="spellEnd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Загора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1DE2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Братя</w:t>
            </w:r>
            <w:proofErr w:type="spellEnd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Даскалови</w:t>
            </w:r>
            <w:proofErr w:type="spellEnd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3507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3C9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</w:tr>
      <w:tr w:rsidR="00972A87" w:rsidRPr="00972A87" w14:paraId="63A67966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F812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Стара</w:t>
            </w:r>
            <w:proofErr w:type="spellEnd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Загора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86C8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Мъглиж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81FF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44.006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D738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0.83</w:t>
            </w:r>
          </w:p>
        </w:tc>
      </w:tr>
      <w:tr w:rsidR="00972A87" w:rsidRPr="00972A87" w14:paraId="773242CD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3A37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Стара</w:t>
            </w:r>
            <w:proofErr w:type="spellEnd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Загора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02A3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Николаево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D299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87.733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17F1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1.65</w:t>
            </w:r>
          </w:p>
        </w:tc>
      </w:tr>
      <w:tr w:rsidR="00972A87" w:rsidRPr="00972A87" w14:paraId="42EDEF73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B2E6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Стара</w:t>
            </w:r>
            <w:proofErr w:type="spellEnd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Загора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0848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Чирпан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8D1E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11.423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A55F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</w:tr>
      <w:tr w:rsidR="00972A87" w:rsidRPr="00972A87" w14:paraId="42E05C0B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E29F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Всичко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област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Стара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Загора:  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D16A" w14:textId="77777777" w:rsidR="00972A87" w:rsidRPr="00972A87" w:rsidRDefault="00972A87" w:rsidP="00972A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FAD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166.162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268A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3.12</w:t>
            </w:r>
          </w:p>
        </w:tc>
      </w:tr>
      <w:tr w:rsidR="00972A87" w:rsidRPr="00972A87" w14:paraId="16C793F3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D8A8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Сливен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6385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Нова</w:t>
            </w:r>
            <w:proofErr w:type="spellEnd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Загора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1E2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60.389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D2E0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1.13</w:t>
            </w:r>
          </w:p>
        </w:tc>
      </w:tr>
      <w:tr w:rsidR="00972A87" w:rsidRPr="00972A87" w14:paraId="30124E9D" w14:textId="77777777" w:rsidTr="00972A87">
        <w:trPr>
          <w:trHeight w:val="2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8A14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Сливен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C89B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Сливен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A3A7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40.193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E544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0.75</w:t>
            </w:r>
          </w:p>
        </w:tc>
      </w:tr>
      <w:tr w:rsidR="00972A87" w:rsidRPr="00972A87" w14:paraId="026B1811" w14:textId="77777777" w:rsidTr="00972A87">
        <w:trPr>
          <w:trHeight w:val="2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A44B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Всичко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област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Сливен: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A11E" w14:textId="77777777" w:rsidR="00972A87" w:rsidRPr="00972A87" w:rsidRDefault="00972A87" w:rsidP="00972A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EDDD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100.582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1BB0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1.89</w:t>
            </w:r>
          </w:p>
        </w:tc>
      </w:tr>
      <w:tr w:rsidR="00972A87" w:rsidRPr="00972A87" w14:paraId="23158696" w14:textId="77777777" w:rsidTr="00972A87">
        <w:trPr>
          <w:trHeight w:val="2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F195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Ямбол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EBDD2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Болярово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DFDB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1427.341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A1BD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26.76</w:t>
            </w:r>
          </w:p>
        </w:tc>
      </w:tr>
      <w:tr w:rsidR="00972A87" w:rsidRPr="00972A87" w14:paraId="2BBE161B" w14:textId="77777777" w:rsidTr="00972A87">
        <w:trPr>
          <w:trHeight w:val="2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E171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Ямбол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6154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Тунджа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8C9D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677.630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263F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12.71</w:t>
            </w:r>
          </w:p>
        </w:tc>
      </w:tr>
      <w:tr w:rsidR="00972A87" w:rsidRPr="00972A87" w14:paraId="18F24B7A" w14:textId="77777777" w:rsidTr="00972A87">
        <w:trPr>
          <w:trHeight w:val="2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CDC5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Ямбол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CEBE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Елхово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1023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553.505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E2A2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10.38</w:t>
            </w:r>
          </w:p>
        </w:tc>
      </w:tr>
      <w:tr w:rsidR="00972A87" w:rsidRPr="00972A87" w14:paraId="077ED1EA" w14:textId="77777777" w:rsidTr="00972A87">
        <w:trPr>
          <w:trHeight w:val="2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4D01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Ямбол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F65A" w14:textId="77777777" w:rsidR="00972A87" w:rsidRPr="00972A87" w:rsidRDefault="00972A87" w:rsidP="00972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Стралджа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D67B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1071.317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E2DC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color w:val="000000"/>
                <w:sz w:val="18"/>
                <w:szCs w:val="18"/>
              </w:rPr>
              <w:t>20.09</w:t>
            </w:r>
          </w:p>
        </w:tc>
      </w:tr>
      <w:tr w:rsidR="00972A87" w:rsidRPr="00972A87" w14:paraId="32B941D0" w14:textId="77777777" w:rsidTr="00972A87">
        <w:trPr>
          <w:trHeight w:val="2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B622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Всичко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област</w:t>
            </w:r>
            <w:proofErr w:type="spellEnd"/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Ямбол: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EBB4" w14:textId="77777777" w:rsidR="00972A87" w:rsidRPr="00972A87" w:rsidRDefault="00972A87" w:rsidP="00972A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1875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3 729.79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F99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69.93</w:t>
            </w:r>
          </w:p>
        </w:tc>
      </w:tr>
      <w:tr w:rsidR="00972A87" w:rsidRPr="00972A87" w14:paraId="6A9551F2" w14:textId="77777777" w:rsidTr="00972A87">
        <w:trPr>
          <w:trHeight w:val="262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8902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BDF0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5A1B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5 333.313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A74E" w14:textId="77777777" w:rsidR="00972A87" w:rsidRPr="00972A87" w:rsidRDefault="00972A87" w:rsidP="00972A8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2A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</w:tbl>
    <w:p w14:paraId="7ED7797F" w14:textId="77777777" w:rsidR="00972A87" w:rsidRDefault="00972A87" w:rsidP="002E6396">
      <w:pPr>
        <w:spacing w:after="240"/>
        <w:jc w:val="both"/>
        <w:rPr>
          <w:rFonts w:ascii="Calibri" w:hAnsi="Calibri" w:cs="Calibri"/>
          <w:sz w:val="22"/>
          <w:szCs w:val="22"/>
          <w:lang w:val="bg-BG"/>
        </w:rPr>
      </w:pPr>
    </w:p>
    <w:p w14:paraId="1BA9DB31" w14:textId="77777777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Разпределение на секюритизираните от „Риъл Булленд” АД</w:t>
      </w:r>
    </w:p>
    <w:p w14:paraId="5E4AA8F6" w14:textId="499E0A70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земеделски земи по категории към 31.</w:t>
      </w:r>
      <w:r>
        <w:rPr>
          <w:rFonts w:ascii="Calibri" w:hAnsi="Calibri" w:cs="Calibri"/>
          <w:b/>
          <w:sz w:val="22"/>
          <w:szCs w:val="22"/>
          <w:lang w:val="bg-BG" w:eastAsia="bg-BG"/>
        </w:rPr>
        <w:t>03</w:t>
      </w: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.202</w:t>
      </w:r>
      <w:r>
        <w:rPr>
          <w:rFonts w:ascii="Calibri" w:hAnsi="Calibri" w:cs="Calibri"/>
          <w:b/>
          <w:sz w:val="22"/>
          <w:szCs w:val="22"/>
          <w:lang w:val="bg-BG" w:eastAsia="bg-BG"/>
        </w:rPr>
        <w:t>6</w:t>
      </w: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 xml:space="preserve"> г.</w:t>
      </w:r>
    </w:p>
    <w:p w14:paraId="03530008" w14:textId="77777777" w:rsidR="00CF2A86" w:rsidRPr="002E6396" w:rsidRDefault="00CF2A86" w:rsidP="002E6396">
      <w:pPr>
        <w:spacing w:after="240"/>
        <w:jc w:val="both"/>
        <w:rPr>
          <w:rFonts w:ascii="Calibri" w:hAnsi="Calibri" w:cs="Calibri"/>
          <w:sz w:val="22"/>
          <w:szCs w:val="22"/>
          <w:lang w:val="bg-BG"/>
        </w:rPr>
      </w:pPr>
    </w:p>
    <w:p w14:paraId="644BE836" w14:textId="6FBB74F0" w:rsidR="007C4D99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98725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31AE063" wp14:editId="19C4232C">
            <wp:extent cx="5381625" cy="2876550"/>
            <wp:effectExtent l="0" t="0" r="9525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33DB4C" w14:textId="581E2B96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2DC73C20" w14:textId="5619B0D4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32A1A58F" w14:textId="77777777" w:rsidR="00972A87" w:rsidRDefault="00972A87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54206248" w14:textId="77777777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lastRenderedPageBreak/>
        <w:t>Разпределение на секюритизираните от „Риъл Булленд” АД</w:t>
      </w:r>
    </w:p>
    <w:p w14:paraId="796742F0" w14:textId="77777777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земеделски земи по категории към 31.12.2025 г.</w:t>
      </w:r>
    </w:p>
    <w:p w14:paraId="0F189E67" w14:textId="6030A489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4943614F" w14:textId="13D49503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5D654192" w14:textId="4286B5F0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98725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4FE93FA" wp14:editId="3259640E">
            <wp:extent cx="5276850" cy="2733675"/>
            <wp:effectExtent l="0" t="0" r="0" b="9525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804EC9" w14:textId="3AE59744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63E7C07D" w14:textId="4AA5EFA9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5AE7F930" w14:textId="1149378F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2F9653C6" w14:textId="77777777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Разпределение на секюритизираните от „Риъл Буллленд” АД</w:t>
      </w:r>
    </w:p>
    <w:p w14:paraId="35189937" w14:textId="480E4996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земеделски земи по общини към 3</w:t>
      </w:r>
      <w:r w:rsidRPr="00CF2A86">
        <w:rPr>
          <w:rFonts w:ascii="Calibri" w:hAnsi="Calibri" w:cs="Calibri"/>
          <w:b/>
          <w:sz w:val="22"/>
          <w:szCs w:val="22"/>
          <w:lang w:val="ru-RU" w:eastAsia="bg-BG"/>
        </w:rPr>
        <w:t>1</w:t>
      </w: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.</w:t>
      </w:r>
      <w:r>
        <w:rPr>
          <w:rFonts w:ascii="Calibri" w:hAnsi="Calibri" w:cs="Calibri"/>
          <w:b/>
          <w:sz w:val="22"/>
          <w:szCs w:val="22"/>
          <w:lang w:val="ru-RU" w:eastAsia="bg-BG"/>
        </w:rPr>
        <w:t>03</w:t>
      </w: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.202</w:t>
      </w:r>
      <w:r>
        <w:rPr>
          <w:rFonts w:ascii="Calibri" w:hAnsi="Calibri" w:cs="Calibri"/>
          <w:b/>
          <w:sz w:val="22"/>
          <w:szCs w:val="22"/>
          <w:lang w:val="bg-BG" w:eastAsia="bg-BG"/>
        </w:rPr>
        <w:t>6</w:t>
      </w: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 xml:space="preserve"> г.</w:t>
      </w:r>
    </w:p>
    <w:p w14:paraId="0BBA94FF" w14:textId="77777777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40E5292A" w14:textId="1758AB6C" w:rsid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CFCF6D7" wp14:editId="29D2CEEA">
            <wp:extent cx="5748020" cy="3531870"/>
            <wp:effectExtent l="0" t="0" r="5080" b="1143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94F25A1" w14:textId="6D021D19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6618B93B" w14:textId="77777777" w:rsidR="00972A87" w:rsidRDefault="00972A87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62BF5A7E" w14:textId="511E4153" w:rsidR="00972A87" w:rsidRDefault="00972A87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10BCF12F" w14:textId="77777777" w:rsidR="00972A87" w:rsidRDefault="00972A87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1CDA9B51" w14:textId="77777777" w:rsidR="00972A87" w:rsidRDefault="00972A87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154E7B73" w14:textId="0C4DB9B9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lastRenderedPageBreak/>
        <w:t>Разпределение на секюритизираните от „Риъл Буллленд” АД</w:t>
      </w:r>
    </w:p>
    <w:p w14:paraId="7EE2A225" w14:textId="77777777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земеделски земи по общини към 3</w:t>
      </w:r>
      <w:r w:rsidRPr="00CF2A86">
        <w:rPr>
          <w:rFonts w:ascii="Calibri" w:hAnsi="Calibri" w:cs="Calibri"/>
          <w:b/>
          <w:sz w:val="22"/>
          <w:szCs w:val="22"/>
          <w:lang w:val="ru-RU" w:eastAsia="bg-BG"/>
        </w:rPr>
        <w:t>1</w:t>
      </w: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.</w:t>
      </w:r>
      <w:r w:rsidRPr="00CF2A86">
        <w:rPr>
          <w:rFonts w:ascii="Calibri" w:hAnsi="Calibri" w:cs="Calibri"/>
          <w:b/>
          <w:sz w:val="22"/>
          <w:szCs w:val="22"/>
          <w:lang w:val="ru-RU" w:eastAsia="bg-BG"/>
        </w:rPr>
        <w:t>12</w:t>
      </w:r>
      <w:r w:rsidRPr="00CF2A86">
        <w:rPr>
          <w:rFonts w:ascii="Calibri" w:hAnsi="Calibri" w:cs="Calibri"/>
          <w:b/>
          <w:sz w:val="22"/>
          <w:szCs w:val="22"/>
          <w:lang w:val="bg-BG" w:eastAsia="bg-BG"/>
        </w:rPr>
        <w:t>.2025 г.</w:t>
      </w:r>
    </w:p>
    <w:p w14:paraId="57736E8F" w14:textId="77777777" w:rsidR="00CF2A86" w:rsidRP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052332C9" w14:textId="4264E964" w:rsidR="00CF2A86" w:rsidRDefault="00CF2A86" w:rsidP="00CF2A8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  <w:r w:rsidRPr="00CF2A8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DC40DB3" wp14:editId="45394DA7">
            <wp:extent cx="5748020" cy="3531870"/>
            <wp:effectExtent l="0" t="0" r="5080" b="11430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BFF2FD" w14:textId="2FE9DAD6" w:rsidR="00CF2A86" w:rsidRDefault="00CF2A86" w:rsidP="00CE4446">
      <w:pPr>
        <w:jc w:val="center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0F127CED" w14:textId="77777777" w:rsidR="00D43EFE" w:rsidRPr="00285774" w:rsidRDefault="00E41C58" w:rsidP="00D43EFE">
      <w:pPr>
        <w:jc w:val="both"/>
        <w:rPr>
          <w:rFonts w:ascii="Calibri" w:hAnsi="Calibri" w:cs="Calibri"/>
          <w:b/>
          <w:bCs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3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. Промени в капитала на дружеството </w:t>
      </w:r>
    </w:p>
    <w:p w14:paraId="07144683" w14:textId="77777777" w:rsidR="0088534A" w:rsidRPr="0088534A" w:rsidRDefault="0088534A" w:rsidP="0088534A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  <w:lang w:val="bg-BG"/>
        </w:rPr>
      </w:pPr>
      <w:r w:rsidRPr="0088534A">
        <w:rPr>
          <w:rFonts w:ascii="Calibri" w:hAnsi="Calibri" w:cs="Calibri"/>
          <w:sz w:val="22"/>
          <w:szCs w:val="22"/>
          <w:lang w:val="bg-BG"/>
        </w:rPr>
        <w:t>С решение № 866 - Е от 10.12.2024 г. на Комисия за финансов надзор е потвърден  Проспект за публично предлагане чрез издаване на нови  2 085 834 броя обикновени, поименни, безналични акции, с право на глас и номинална стойност от 1 лев и емисионна стойност от 1.20 лева за акция.</w:t>
      </w:r>
    </w:p>
    <w:p w14:paraId="2FE1BA27" w14:textId="77777777" w:rsidR="0088534A" w:rsidRPr="0088534A" w:rsidRDefault="0088534A" w:rsidP="0088534A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  <w:lang w:val="bg-BG"/>
        </w:rPr>
      </w:pPr>
      <w:r w:rsidRPr="0088534A">
        <w:rPr>
          <w:rFonts w:ascii="Calibri" w:hAnsi="Calibri" w:cs="Calibri"/>
          <w:sz w:val="22"/>
          <w:szCs w:val="22"/>
          <w:lang w:val="bg-BG"/>
        </w:rPr>
        <w:t xml:space="preserve">Увеличението на капитала е вписано на 22.04.2025 г. в Търговския регистър към Агенция по вписванията от 8,050,613 лева на 10,136,447 лева. разпределени в 10,136,447 броя акции. Вписан е и променен Устав, актуализиран с новия размер на капитала,. Акциите са обикновени, безналични, всяка една с право на глас в Oбщото събрание на акционерите, право на дивидент и право на ликвидационен дял, съразмерен на номиналната им стойност. </w:t>
      </w:r>
    </w:p>
    <w:p w14:paraId="1E575896" w14:textId="77777777" w:rsidR="0088534A" w:rsidRDefault="0088534A" w:rsidP="00B95A6C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  <w:lang w:val="bg-BG"/>
        </w:rPr>
      </w:pPr>
    </w:p>
    <w:p w14:paraId="7DF3064C" w14:textId="77777777" w:rsidR="0088534A" w:rsidRPr="0088534A" w:rsidRDefault="0088534A" w:rsidP="0088534A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  <w:lang w:val="bg-BG"/>
        </w:rPr>
      </w:pPr>
      <w:r w:rsidRPr="0088534A">
        <w:rPr>
          <w:rFonts w:ascii="Calibri" w:hAnsi="Calibri" w:cs="Calibri"/>
          <w:sz w:val="22"/>
          <w:szCs w:val="22"/>
          <w:lang w:val="bg-BG"/>
        </w:rPr>
        <w:t xml:space="preserve">На 01.01.2026 г. размерът на Регистрирания капитал на Дружеството е превалутиран на 5,169,587.97 евро, разпределени в 10,136,447 обикновени, поименни, безналични и свободно прехвърляеми акции, всички с право на глас и с номинална стойност от 0.51 евро всяка. </w:t>
      </w:r>
    </w:p>
    <w:p w14:paraId="2371FF25" w14:textId="77777777" w:rsidR="0088534A" w:rsidRPr="0088534A" w:rsidRDefault="0088534A" w:rsidP="0088534A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  <w:lang w:val="bg-BG"/>
        </w:rPr>
      </w:pPr>
      <w:r w:rsidRPr="0088534A">
        <w:rPr>
          <w:rFonts w:ascii="Calibri" w:hAnsi="Calibri" w:cs="Calibri"/>
          <w:sz w:val="22"/>
          <w:szCs w:val="22"/>
          <w:lang w:val="bg-BG"/>
        </w:rPr>
        <w:t>На основание чл. 32 от ЗВЕРБ Дружеството ще представи за обявяване в Търговския регистър Устав с отразени превалутиран размер на капитала и номинална стойност на акциите в срок до 12 месеца от датата на въвеждане на еврото в Република България.</w:t>
      </w:r>
    </w:p>
    <w:p w14:paraId="31E64F72" w14:textId="77777777" w:rsidR="0088534A" w:rsidRDefault="0088534A" w:rsidP="00B95A6C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  <w:lang w:val="bg-BG"/>
        </w:rPr>
      </w:pPr>
    </w:p>
    <w:p w14:paraId="3421DE12" w14:textId="77777777" w:rsidR="00B95A6C" w:rsidRPr="00B95A6C" w:rsidRDefault="00B95A6C" w:rsidP="00B95A6C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  <w:lang w:val="bg-BG"/>
        </w:rPr>
      </w:pPr>
      <w:r w:rsidRPr="00B95A6C">
        <w:rPr>
          <w:rFonts w:ascii="Calibri" w:hAnsi="Calibri" w:cs="Calibri"/>
          <w:sz w:val="22"/>
          <w:szCs w:val="22"/>
          <w:lang w:val="bg-BG"/>
        </w:rPr>
        <w:t>На основание чл. 32 от ЗВЕРБ Дружеството ще представи за обявяване в Търговския регистър Устав с отразени превалутиран размер на капитала и номинална стойност на акциите в срок до 12 месеца от датата на въвеждане на еврото в Република България.</w:t>
      </w:r>
    </w:p>
    <w:p w14:paraId="0CD6340B" w14:textId="13823ED1" w:rsidR="00B95A6C" w:rsidRDefault="00B95A6C" w:rsidP="002A317F">
      <w:pPr>
        <w:spacing w:line="276" w:lineRule="auto"/>
        <w:ind w:firstLine="708"/>
        <w:jc w:val="both"/>
        <w:rPr>
          <w:rFonts w:ascii="Calibri" w:hAnsi="Calibri" w:cs="Calibri"/>
          <w:bCs/>
          <w:color w:val="FF0000"/>
          <w:sz w:val="22"/>
          <w:szCs w:val="22"/>
          <w:lang w:val="bg-BG" w:eastAsia="bg-BG"/>
        </w:rPr>
      </w:pPr>
    </w:p>
    <w:p w14:paraId="06B097B2" w14:textId="77777777" w:rsidR="0088534A" w:rsidRDefault="0088534A" w:rsidP="002A317F">
      <w:pPr>
        <w:spacing w:line="276" w:lineRule="auto"/>
        <w:ind w:firstLine="708"/>
        <w:jc w:val="both"/>
        <w:rPr>
          <w:rFonts w:ascii="Calibri" w:hAnsi="Calibri" w:cs="Calibri"/>
          <w:bCs/>
          <w:color w:val="FF0000"/>
          <w:sz w:val="22"/>
          <w:szCs w:val="22"/>
          <w:lang w:val="bg-BG" w:eastAsia="bg-BG"/>
        </w:rPr>
      </w:pPr>
    </w:p>
    <w:p w14:paraId="239C2D70" w14:textId="77777777" w:rsidR="00D43EFE" w:rsidRPr="00285774" w:rsidRDefault="00DA1397" w:rsidP="00D43EFE">
      <w:pPr>
        <w:jc w:val="both"/>
        <w:rPr>
          <w:rFonts w:ascii="Calibri" w:hAnsi="Calibri" w:cs="Calibri"/>
          <w:b/>
          <w:bCs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lastRenderedPageBreak/>
        <w:t>4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.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ru-RU" w:eastAsia="bg-BG"/>
        </w:rPr>
        <w:t xml:space="preserve"> 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Анализ на икономическото състояние, което представя вярно и честно развитието и резултатите от дейността на дружеството, както и неговото състояние, заедно с описание на основните рискове, пред които е изправено.</w:t>
      </w:r>
    </w:p>
    <w:p w14:paraId="3987D790" w14:textId="77777777" w:rsidR="00D43EFE" w:rsidRPr="00285774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lang w:val="bg-BG" w:eastAsia="bg-BG"/>
        </w:rPr>
      </w:pPr>
    </w:p>
    <w:p w14:paraId="2B6579CB" w14:textId="6D25AB14" w:rsidR="00D43EFE" w:rsidRPr="00285774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Приходи, разходи и финансови резултати от дейността към 3</w:t>
      </w:r>
      <w:r w:rsidR="00EE4FDB">
        <w:rPr>
          <w:rFonts w:ascii="Calibri" w:hAnsi="Calibri" w:cs="Calibri"/>
          <w:b/>
          <w:bCs/>
          <w:sz w:val="22"/>
          <w:szCs w:val="22"/>
          <w:lang w:val="bg-BG" w:eastAsia="bg-BG"/>
        </w:rPr>
        <w:t>1</w:t>
      </w: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.</w:t>
      </w:r>
      <w:r w:rsidR="00961277">
        <w:rPr>
          <w:rFonts w:ascii="Calibri" w:hAnsi="Calibri" w:cs="Calibri"/>
          <w:b/>
          <w:bCs/>
          <w:sz w:val="22"/>
          <w:szCs w:val="22"/>
          <w:lang w:val="ru-RU" w:eastAsia="bg-BG"/>
        </w:rPr>
        <w:t>03</w:t>
      </w: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.20</w:t>
      </w:r>
      <w:r w:rsidR="00381812"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2</w:t>
      </w:r>
      <w:r w:rsidR="00B95A6C">
        <w:rPr>
          <w:rFonts w:ascii="Calibri" w:hAnsi="Calibri" w:cs="Calibri"/>
          <w:b/>
          <w:bCs/>
          <w:sz w:val="22"/>
          <w:szCs w:val="22"/>
          <w:lang w:val="bg-BG" w:eastAsia="bg-BG"/>
        </w:rPr>
        <w:t>6</w:t>
      </w: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 година</w:t>
      </w:r>
    </w:p>
    <w:p w14:paraId="27853BE9" w14:textId="073071ED" w:rsidR="00A519B5" w:rsidRPr="00285774" w:rsidRDefault="00D43EFE" w:rsidP="00A519B5">
      <w:pPr>
        <w:rPr>
          <w:rFonts w:ascii="Calibri" w:hAnsi="Calibri" w:cs="Calibri"/>
          <w:bCs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Основната част от приходите на дружеството </w:t>
      </w:r>
      <w:r w:rsidR="00831551" w:rsidRPr="00285774">
        <w:rPr>
          <w:rFonts w:ascii="Calibri" w:hAnsi="Calibri" w:cs="Calibri"/>
          <w:bCs/>
          <w:sz w:val="22"/>
          <w:szCs w:val="22"/>
          <w:lang w:val="bg-BG" w:eastAsia="bg-BG"/>
        </w:rPr>
        <w:t>за периода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 01.01.20</w:t>
      </w:r>
      <w:r w:rsidR="00381812" w:rsidRPr="00285774">
        <w:rPr>
          <w:rFonts w:ascii="Calibri" w:hAnsi="Calibri" w:cs="Calibri"/>
          <w:bCs/>
          <w:sz w:val="22"/>
          <w:szCs w:val="22"/>
          <w:lang w:val="bg-BG" w:eastAsia="bg-BG"/>
        </w:rPr>
        <w:t>2</w:t>
      </w:r>
      <w:r w:rsidR="00B95A6C">
        <w:rPr>
          <w:rFonts w:ascii="Calibri" w:hAnsi="Calibri" w:cs="Calibri"/>
          <w:bCs/>
          <w:sz w:val="22"/>
          <w:szCs w:val="22"/>
          <w:lang w:val="bg-BG" w:eastAsia="bg-BG"/>
        </w:rPr>
        <w:t>6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 г.</w:t>
      </w:r>
      <w:r w:rsidR="00831551"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- 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>3</w:t>
      </w:r>
      <w:r w:rsidR="00EE4FDB">
        <w:rPr>
          <w:rFonts w:ascii="Calibri" w:hAnsi="Calibri" w:cs="Calibri"/>
          <w:bCs/>
          <w:sz w:val="22"/>
          <w:szCs w:val="22"/>
          <w:lang w:val="bg-BG" w:eastAsia="bg-BG"/>
        </w:rPr>
        <w:t>1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>.</w:t>
      </w:r>
      <w:r w:rsidR="005E1E87">
        <w:rPr>
          <w:rFonts w:ascii="Calibri" w:hAnsi="Calibri" w:cs="Calibri"/>
          <w:bCs/>
          <w:sz w:val="22"/>
          <w:szCs w:val="22"/>
          <w:lang w:val="ru-RU" w:eastAsia="bg-BG"/>
        </w:rPr>
        <w:t>03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>.20</w:t>
      </w:r>
      <w:r w:rsidR="00381812" w:rsidRPr="00285774">
        <w:rPr>
          <w:rFonts w:ascii="Calibri" w:hAnsi="Calibri" w:cs="Calibri"/>
          <w:bCs/>
          <w:sz w:val="22"/>
          <w:szCs w:val="22"/>
          <w:lang w:val="bg-BG" w:eastAsia="bg-BG"/>
        </w:rPr>
        <w:t>2</w:t>
      </w:r>
      <w:r w:rsidR="00B95A6C">
        <w:rPr>
          <w:rFonts w:ascii="Calibri" w:hAnsi="Calibri" w:cs="Calibri"/>
          <w:bCs/>
          <w:sz w:val="22"/>
          <w:szCs w:val="22"/>
          <w:lang w:val="ru-RU" w:eastAsia="bg-BG"/>
        </w:rPr>
        <w:t>6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 г. </w:t>
      </w:r>
      <w:r w:rsidR="009337A1" w:rsidRPr="00285774">
        <w:rPr>
          <w:rFonts w:ascii="Calibri" w:hAnsi="Calibri" w:cs="Calibri"/>
          <w:bCs/>
          <w:sz w:val="22"/>
          <w:szCs w:val="22"/>
          <w:lang w:val="bg-BG" w:eastAsia="bg-BG"/>
        </w:rPr>
        <w:t>с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>а</w:t>
      </w:r>
      <w:r w:rsidR="009337A1" w:rsidRPr="00285774">
        <w:rPr>
          <w:rFonts w:ascii="Calibri" w:hAnsi="Calibri" w:cs="Calibri"/>
          <w:bCs/>
          <w:sz w:val="22"/>
          <w:szCs w:val="22"/>
          <w:lang w:val="bg-BG" w:eastAsia="bg-BG"/>
        </w:rPr>
        <w:t>: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 </w:t>
      </w:r>
      <w:r w:rsidR="00A519B5"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 </w:t>
      </w:r>
    </w:p>
    <w:p w14:paraId="004804DD" w14:textId="384F878F" w:rsidR="00B83B8C" w:rsidRPr="004B65C4" w:rsidRDefault="00B83B8C" w:rsidP="00A519B5">
      <w:pPr>
        <w:ind w:left="360"/>
        <w:jc w:val="both"/>
        <w:rPr>
          <w:rFonts w:ascii="Calibri" w:hAnsi="Calibri" w:cs="Calibri"/>
          <w:b/>
          <w:bCs/>
          <w:sz w:val="22"/>
          <w:szCs w:val="22"/>
          <w:lang w:val="bg-BG"/>
        </w:rPr>
      </w:pPr>
      <w:r>
        <w:rPr>
          <w:rFonts w:ascii="Calibri" w:hAnsi="Calibri" w:cs="Calibri"/>
          <w:bCs/>
          <w:sz w:val="22"/>
          <w:szCs w:val="22"/>
          <w:lang w:val="bg-BG"/>
        </w:rPr>
        <w:t xml:space="preserve">-  </w:t>
      </w:r>
      <w:r w:rsidRPr="00C23F9E">
        <w:rPr>
          <w:rFonts w:ascii="Calibri" w:hAnsi="Calibri" w:cs="Calibri"/>
          <w:bCs/>
          <w:sz w:val="22"/>
          <w:szCs w:val="22"/>
          <w:lang w:val="bg-BG"/>
        </w:rPr>
        <w:t>приходите от наеми инвестиционни имоти земеделски земи</w:t>
      </w:r>
      <w:r w:rsidR="006E20F5">
        <w:rPr>
          <w:rFonts w:ascii="Calibri" w:hAnsi="Calibri" w:cs="Calibri"/>
          <w:bCs/>
          <w:sz w:val="22"/>
          <w:szCs w:val="22"/>
          <w:lang w:val="bg-BG"/>
        </w:rPr>
        <w:t xml:space="preserve"> – </w:t>
      </w:r>
      <w:r w:rsidR="006E20F5" w:rsidRPr="006E20F5">
        <w:rPr>
          <w:rFonts w:ascii="Calibri" w:hAnsi="Calibri" w:cs="Calibri"/>
          <w:b/>
          <w:bCs/>
          <w:sz w:val="22"/>
          <w:szCs w:val="22"/>
          <w:lang w:val="bg-BG"/>
        </w:rPr>
        <w:t xml:space="preserve">1 хил. </w:t>
      </w:r>
      <w:r w:rsidR="00B95A6C">
        <w:rPr>
          <w:rFonts w:ascii="Calibri" w:hAnsi="Calibri" w:cs="Calibri"/>
          <w:b/>
          <w:bCs/>
          <w:sz w:val="22"/>
          <w:szCs w:val="22"/>
          <w:lang w:val="bg-BG"/>
        </w:rPr>
        <w:t>евро</w:t>
      </w:r>
    </w:p>
    <w:p w14:paraId="79FB81E4" w14:textId="77777777" w:rsidR="00B06529" w:rsidRPr="00285774" w:rsidRDefault="00B06529" w:rsidP="00B83FBC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bg-BG" w:eastAsia="bg-BG"/>
        </w:rPr>
      </w:pPr>
    </w:p>
    <w:p w14:paraId="40B2FE4A" w14:textId="716A8AA3" w:rsidR="00D43EFE" w:rsidRPr="00E31137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lang w:val="bg-BG" w:eastAsia="bg-BG"/>
        </w:rPr>
      </w:pP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Общият размер на приходите на дружеството към 3</w:t>
      </w:r>
      <w:r w:rsidR="001E71AA">
        <w:rPr>
          <w:rFonts w:ascii="Calibri" w:hAnsi="Calibri" w:cs="Calibri"/>
          <w:b/>
          <w:bCs/>
          <w:sz w:val="22"/>
          <w:szCs w:val="22"/>
          <w:lang w:val="bg-BG" w:eastAsia="bg-BG"/>
        </w:rPr>
        <w:t>1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.</w:t>
      </w:r>
      <w:r w:rsidR="005F2EBE">
        <w:rPr>
          <w:rFonts w:ascii="Calibri" w:hAnsi="Calibri" w:cs="Calibri"/>
          <w:b/>
          <w:bCs/>
          <w:sz w:val="22"/>
          <w:szCs w:val="22"/>
          <w:lang w:val="ru-RU" w:eastAsia="bg-BG"/>
        </w:rPr>
        <w:t>03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.20</w:t>
      </w:r>
      <w:r w:rsidR="00D93098"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2</w:t>
      </w:r>
      <w:r w:rsidR="00B95A6C">
        <w:rPr>
          <w:rFonts w:ascii="Calibri" w:hAnsi="Calibri" w:cs="Calibri"/>
          <w:b/>
          <w:bCs/>
          <w:sz w:val="22"/>
          <w:szCs w:val="22"/>
          <w:lang w:val="ru-RU" w:eastAsia="bg-BG"/>
        </w:rPr>
        <w:t>6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 г. е </w:t>
      </w:r>
      <w:r w:rsidR="000660F3">
        <w:rPr>
          <w:rFonts w:ascii="Calibri" w:hAnsi="Calibri" w:cs="Calibri"/>
          <w:b/>
          <w:bCs/>
          <w:sz w:val="22"/>
          <w:szCs w:val="22"/>
          <w:lang w:val="ru-RU" w:eastAsia="bg-BG"/>
        </w:rPr>
        <w:t>2</w:t>
      </w:r>
      <w:r w:rsidR="00C46B8C"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 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хил. лева. </w:t>
      </w:r>
    </w:p>
    <w:p w14:paraId="2DD23D78" w14:textId="7A0D8DCD" w:rsidR="00D43EFE" w:rsidRPr="00E31137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lang w:val="bg-BG" w:eastAsia="bg-BG"/>
        </w:rPr>
      </w:pP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Общият размер на разходите на дружеството към 3</w:t>
      </w:r>
      <w:r w:rsidR="00446AE3">
        <w:rPr>
          <w:rFonts w:ascii="Calibri" w:hAnsi="Calibri" w:cs="Calibri"/>
          <w:b/>
          <w:bCs/>
          <w:sz w:val="22"/>
          <w:szCs w:val="22"/>
          <w:lang w:val="bg-BG" w:eastAsia="bg-BG"/>
        </w:rPr>
        <w:t>1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.</w:t>
      </w:r>
      <w:r w:rsidR="005F2EBE">
        <w:rPr>
          <w:rFonts w:ascii="Calibri" w:hAnsi="Calibri" w:cs="Calibri"/>
          <w:b/>
          <w:bCs/>
          <w:sz w:val="22"/>
          <w:szCs w:val="22"/>
          <w:lang w:val="bg-BG" w:eastAsia="bg-BG"/>
        </w:rPr>
        <w:t>03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.20</w:t>
      </w:r>
      <w:r w:rsidR="00D93098"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2</w:t>
      </w:r>
      <w:r w:rsidR="00B95A6C">
        <w:rPr>
          <w:rFonts w:ascii="Calibri" w:hAnsi="Calibri" w:cs="Calibri"/>
          <w:b/>
          <w:bCs/>
          <w:sz w:val="22"/>
          <w:szCs w:val="22"/>
          <w:lang w:val="ru-RU" w:eastAsia="bg-BG"/>
        </w:rPr>
        <w:t>6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г. е </w:t>
      </w:r>
      <w:r w:rsidR="00CE35FB">
        <w:rPr>
          <w:rFonts w:ascii="Calibri" w:hAnsi="Calibri" w:cs="Calibri"/>
          <w:b/>
          <w:bCs/>
          <w:sz w:val="22"/>
          <w:szCs w:val="22"/>
          <w:lang w:val="ru-RU" w:eastAsia="bg-BG"/>
        </w:rPr>
        <w:t>6</w:t>
      </w:r>
      <w:r w:rsidR="00A902DE" w:rsidRPr="00D37BC0">
        <w:rPr>
          <w:rFonts w:ascii="Calibri" w:hAnsi="Calibri" w:cs="Calibri"/>
          <w:b/>
          <w:bCs/>
          <w:sz w:val="22"/>
          <w:szCs w:val="22"/>
          <w:lang w:val="ru-RU" w:eastAsia="bg-BG"/>
        </w:rPr>
        <w:t>0</w:t>
      </w:r>
      <w:r w:rsidR="0068086D"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 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хил. лева.</w:t>
      </w:r>
      <w:r w:rsidR="00BF2FBC"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, както следва:</w:t>
      </w:r>
    </w:p>
    <w:p w14:paraId="758CDD3D" w14:textId="32E2ACB1" w:rsidR="006863FC" w:rsidRPr="00E31137" w:rsidRDefault="00D43EFE" w:rsidP="00D43EFE">
      <w:pPr>
        <w:jc w:val="both"/>
        <w:rPr>
          <w:rFonts w:ascii="Calibri" w:hAnsi="Calibri" w:cs="Calibri"/>
          <w:bCs/>
          <w:sz w:val="22"/>
          <w:szCs w:val="22"/>
          <w:lang w:val="bg-BG" w:eastAsia="bg-BG"/>
        </w:rPr>
      </w:pPr>
      <w:r w:rsidRPr="00E31137">
        <w:rPr>
          <w:rFonts w:ascii="Calibri" w:hAnsi="Calibri" w:cs="Calibri"/>
          <w:bCs/>
          <w:sz w:val="22"/>
          <w:szCs w:val="22"/>
          <w:lang w:val="bg-BG" w:eastAsia="bg-BG"/>
        </w:rPr>
        <w:t>Разходите за персонала са в размер на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 </w:t>
      </w:r>
      <w:r w:rsidR="002D1F4A">
        <w:rPr>
          <w:rFonts w:ascii="Calibri" w:hAnsi="Calibri" w:cs="Calibri"/>
          <w:b/>
          <w:bCs/>
          <w:sz w:val="22"/>
          <w:szCs w:val="22"/>
          <w:lang w:val="ru-RU" w:eastAsia="bg-BG"/>
        </w:rPr>
        <w:t>16</w:t>
      </w:r>
      <w:r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 </w:t>
      </w:r>
      <w:r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>хил.</w:t>
      </w:r>
      <w:r w:rsidRPr="00E31137">
        <w:rPr>
          <w:rFonts w:ascii="Calibri" w:hAnsi="Calibri" w:cs="Calibri"/>
          <w:b/>
          <w:bCs/>
          <w:sz w:val="22"/>
          <w:szCs w:val="22"/>
          <w:lang w:val="ru-RU" w:eastAsia="bg-BG"/>
        </w:rPr>
        <w:t xml:space="preserve"> </w:t>
      </w:r>
      <w:r w:rsidR="002D1F4A">
        <w:rPr>
          <w:rFonts w:ascii="Calibri" w:hAnsi="Calibri" w:cs="Calibri"/>
          <w:b/>
          <w:bCs/>
          <w:sz w:val="22"/>
          <w:szCs w:val="22"/>
          <w:lang w:val="bg-BG" w:eastAsia="bg-BG"/>
        </w:rPr>
        <w:t>евро</w:t>
      </w:r>
      <w:r w:rsidR="00B3591E" w:rsidRPr="00E31137">
        <w:rPr>
          <w:rFonts w:ascii="Calibri" w:hAnsi="Calibri" w:cs="Calibri"/>
          <w:b/>
          <w:bCs/>
          <w:sz w:val="22"/>
          <w:szCs w:val="22"/>
          <w:lang w:val="ru-RU" w:eastAsia="bg-BG"/>
        </w:rPr>
        <w:t>;</w:t>
      </w:r>
      <w:r w:rsidR="000D1549"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 </w:t>
      </w:r>
      <w:r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 </w:t>
      </w:r>
    </w:p>
    <w:p w14:paraId="3810534A" w14:textId="0543E529" w:rsidR="00F74522" w:rsidRPr="00E31137" w:rsidRDefault="00B3591E" w:rsidP="00D43EFE">
      <w:pPr>
        <w:jc w:val="both"/>
        <w:rPr>
          <w:rFonts w:ascii="Calibri" w:hAnsi="Calibri" w:cs="Calibri"/>
          <w:bCs/>
          <w:sz w:val="22"/>
          <w:szCs w:val="22"/>
          <w:lang w:val="bg-BG" w:eastAsia="bg-BG"/>
        </w:rPr>
      </w:pPr>
      <w:r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разходите </w:t>
      </w:r>
      <w:r w:rsidR="00F74522"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външни услуги </w:t>
      </w:r>
      <w:r w:rsidR="00D43EFE"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 </w:t>
      </w:r>
      <w:r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са </w:t>
      </w:r>
      <w:r w:rsidR="00D43EFE"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в размер на </w:t>
      </w:r>
      <w:r w:rsidR="002D1F4A">
        <w:rPr>
          <w:rFonts w:ascii="Calibri" w:hAnsi="Calibri" w:cs="Calibri"/>
          <w:b/>
          <w:bCs/>
          <w:sz w:val="22"/>
          <w:szCs w:val="22"/>
          <w:lang w:val="ru-RU" w:eastAsia="bg-BG"/>
        </w:rPr>
        <w:t>10</w:t>
      </w:r>
      <w:r w:rsidR="00E2060C"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 </w:t>
      </w:r>
      <w:r w:rsidR="00D43EFE"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хил. </w:t>
      </w:r>
      <w:r w:rsidR="002D1F4A">
        <w:rPr>
          <w:rFonts w:ascii="Calibri" w:hAnsi="Calibri" w:cs="Calibri"/>
          <w:b/>
          <w:bCs/>
          <w:sz w:val="22"/>
          <w:szCs w:val="22"/>
          <w:lang w:val="bg-BG" w:eastAsia="bg-BG"/>
        </w:rPr>
        <w:t>евро</w:t>
      </w:r>
      <w:r w:rsidR="00D43EFE"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 </w:t>
      </w:r>
      <w:r w:rsidR="00F74522"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, които включват: </w:t>
      </w:r>
    </w:p>
    <w:p w14:paraId="65580789" w14:textId="671D8EA3" w:rsidR="00F74522" w:rsidRPr="00E31137" w:rsidRDefault="00F74522" w:rsidP="00A519B5">
      <w:pPr>
        <w:ind w:left="360"/>
        <w:jc w:val="both"/>
        <w:rPr>
          <w:rFonts w:ascii="Calibri" w:hAnsi="Calibri" w:cs="Calibri"/>
          <w:bCs/>
          <w:sz w:val="22"/>
          <w:szCs w:val="22"/>
          <w:lang w:val="bg-BG"/>
        </w:rPr>
      </w:pPr>
      <w:r w:rsidRPr="00E31137">
        <w:rPr>
          <w:rFonts w:ascii="Calibri" w:hAnsi="Calibri" w:cs="Calibri"/>
          <w:bCs/>
          <w:sz w:val="22"/>
          <w:szCs w:val="22"/>
          <w:lang w:val="bg-BG"/>
        </w:rPr>
        <w:t>-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 разходите за наем </w:t>
      </w:r>
      <w:r w:rsidR="009702A3" w:rsidRPr="00E31137">
        <w:rPr>
          <w:rFonts w:ascii="Calibri" w:hAnsi="Calibri" w:cs="Calibri"/>
          <w:bCs/>
          <w:sz w:val="22"/>
          <w:szCs w:val="22"/>
          <w:lang w:val="bg-BG"/>
        </w:rPr>
        <w:t>-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  <w:r w:rsidR="001D17AB">
        <w:rPr>
          <w:rFonts w:ascii="Calibri" w:hAnsi="Calibri" w:cs="Calibri"/>
          <w:bCs/>
          <w:sz w:val="22"/>
          <w:szCs w:val="22"/>
          <w:lang w:val="ru-RU"/>
        </w:rPr>
        <w:t>3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 хил. </w:t>
      </w:r>
      <w:r w:rsidR="001D17AB">
        <w:rPr>
          <w:rFonts w:ascii="Calibri" w:hAnsi="Calibri" w:cs="Calibri"/>
          <w:bCs/>
          <w:sz w:val="22"/>
          <w:szCs w:val="22"/>
          <w:lang w:val="bg-BG"/>
        </w:rPr>
        <w:t>евро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, </w:t>
      </w:r>
    </w:p>
    <w:p w14:paraId="7D2601CF" w14:textId="251B16F9" w:rsidR="00F74522" w:rsidRDefault="00F74522" w:rsidP="00A519B5">
      <w:pPr>
        <w:ind w:left="360"/>
        <w:jc w:val="both"/>
        <w:rPr>
          <w:rFonts w:ascii="Calibri" w:hAnsi="Calibri" w:cs="Calibri"/>
          <w:bCs/>
          <w:sz w:val="22"/>
          <w:szCs w:val="22"/>
          <w:lang w:val="bg-BG"/>
        </w:rPr>
      </w:pPr>
      <w:r w:rsidRPr="00E31137">
        <w:rPr>
          <w:rFonts w:ascii="Calibri" w:hAnsi="Calibri" w:cs="Calibri"/>
          <w:bCs/>
          <w:sz w:val="22"/>
          <w:szCs w:val="22"/>
          <w:lang w:val="bg-BG"/>
        </w:rPr>
        <w:t xml:space="preserve">- 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разходи за </w:t>
      </w:r>
      <w:r w:rsidR="002933EC" w:rsidRPr="00E31137">
        <w:rPr>
          <w:rFonts w:ascii="Calibri" w:hAnsi="Calibri" w:cs="Calibri"/>
          <w:bCs/>
          <w:sz w:val="22"/>
          <w:szCs w:val="22"/>
          <w:lang w:val="bg-BG"/>
        </w:rPr>
        <w:t>оценители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  <w:r w:rsidR="00AE6187" w:rsidRPr="00E31137">
        <w:rPr>
          <w:rFonts w:ascii="Calibri" w:hAnsi="Calibri" w:cs="Calibri"/>
          <w:bCs/>
          <w:sz w:val="22"/>
          <w:szCs w:val="22"/>
          <w:lang w:val="bg-BG"/>
        </w:rPr>
        <w:t xml:space="preserve">недвижими имоти 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– </w:t>
      </w:r>
      <w:r w:rsidR="001D17AB">
        <w:rPr>
          <w:rFonts w:ascii="Calibri" w:hAnsi="Calibri" w:cs="Calibri"/>
          <w:bCs/>
          <w:sz w:val="22"/>
          <w:szCs w:val="22"/>
          <w:lang w:val="ru-RU"/>
        </w:rPr>
        <w:t>4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 хил. </w:t>
      </w:r>
      <w:r w:rsidR="001D17AB">
        <w:rPr>
          <w:rFonts w:ascii="Calibri" w:hAnsi="Calibri" w:cs="Calibri"/>
          <w:bCs/>
          <w:sz w:val="22"/>
          <w:szCs w:val="22"/>
          <w:lang w:val="bg-BG"/>
        </w:rPr>
        <w:t>евро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>,</w:t>
      </w:r>
    </w:p>
    <w:p w14:paraId="56F2CC39" w14:textId="5E3CEACE" w:rsidR="001D17AB" w:rsidRPr="00E31137" w:rsidRDefault="001D17AB" w:rsidP="00A519B5">
      <w:pPr>
        <w:ind w:left="360"/>
        <w:jc w:val="both"/>
        <w:rPr>
          <w:rFonts w:ascii="Calibri" w:hAnsi="Calibri" w:cs="Calibri"/>
          <w:bCs/>
          <w:sz w:val="22"/>
          <w:szCs w:val="22"/>
          <w:lang w:val="bg-BG"/>
        </w:rPr>
      </w:pPr>
      <w:r>
        <w:rPr>
          <w:rFonts w:ascii="Calibri" w:hAnsi="Calibri" w:cs="Calibri"/>
          <w:bCs/>
          <w:sz w:val="22"/>
          <w:szCs w:val="22"/>
          <w:lang w:val="bg-BG"/>
        </w:rPr>
        <w:t>- разходи за одиторски услуги – 2 хил. евро</w:t>
      </w:r>
    </w:p>
    <w:p w14:paraId="362069BF" w14:textId="7375B465" w:rsidR="00D43EFE" w:rsidRPr="00E31137" w:rsidRDefault="00F74522" w:rsidP="00A519B5">
      <w:pPr>
        <w:ind w:left="360"/>
        <w:jc w:val="both"/>
        <w:rPr>
          <w:rFonts w:ascii="Calibri" w:hAnsi="Calibri" w:cs="Calibri"/>
          <w:bCs/>
          <w:sz w:val="22"/>
          <w:szCs w:val="22"/>
          <w:lang w:val="bg-BG"/>
        </w:rPr>
      </w:pPr>
      <w:r w:rsidRPr="00E31137">
        <w:rPr>
          <w:rFonts w:ascii="Calibri" w:hAnsi="Calibri" w:cs="Calibri"/>
          <w:bCs/>
          <w:sz w:val="22"/>
          <w:szCs w:val="22"/>
          <w:lang w:val="bg-BG"/>
        </w:rPr>
        <w:t xml:space="preserve">- 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разходи за такси БФБ, КФН, Централен депозитар.- </w:t>
      </w:r>
      <w:r w:rsidR="00436465">
        <w:rPr>
          <w:rFonts w:ascii="Calibri" w:hAnsi="Calibri" w:cs="Calibri"/>
          <w:bCs/>
          <w:sz w:val="22"/>
          <w:szCs w:val="22"/>
          <w:lang w:val="ru-RU"/>
        </w:rPr>
        <w:t>1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 хил. </w:t>
      </w:r>
      <w:r w:rsidR="001D17AB">
        <w:rPr>
          <w:rFonts w:ascii="Calibri" w:hAnsi="Calibri" w:cs="Calibri"/>
          <w:bCs/>
          <w:sz w:val="22"/>
          <w:szCs w:val="22"/>
          <w:lang w:val="bg-BG"/>
        </w:rPr>
        <w:t>евро</w:t>
      </w:r>
      <w:r w:rsidR="00D43EFE" w:rsidRPr="00E31137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</w:p>
    <w:p w14:paraId="16D692F4" w14:textId="77777777" w:rsidR="001D17AB" w:rsidRDefault="001D17AB" w:rsidP="003A346B">
      <w:pPr>
        <w:jc w:val="both"/>
        <w:rPr>
          <w:rFonts w:ascii="Calibri" w:hAnsi="Calibri" w:cs="Calibri"/>
          <w:bCs/>
          <w:sz w:val="22"/>
          <w:szCs w:val="22"/>
          <w:lang w:val="bg-BG"/>
        </w:rPr>
      </w:pPr>
    </w:p>
    <w:p w14:paraId="5211BD5F" w14:textId="223947BB" w:rsidR="003A346B" w:rsidRPr="00E31137" w:rsidRDefault="002A203A" w:rsidP="003A346B">
      <w:pPr>
        <w:jc w:val="both"/>
        <w:rPr>
          <w:rFonts w:ascii="Calibri" w:hAnsi="Calibri" w:cs="Calibri"/>
          <w:bCs/>
          <w:sz w:val="22"/>
          <w:szCs w:val="22"/>
          <w:lang w:val="bg-BG" w:eastAsia="bg-BG"/>
        </w:rPr>
      </w:pPr>
      <w:r w:rsidRPr="00E31137">
        <w:rPr>
          <w:rFonts w:ascii="Calibri" w:hAnsi="Calibri" w:cs="Calibri"/>
          <w:bCs/>
          <w:sz w:val="22"/>
          <w:szCs w:val="22"/>
          <w:lang w:val="bg-BG"/>
        </w:rPr>
        <w:t xml:space="preserve">други разходи </w:t>
      </w:r>
      <w:r w:rsidR="003A346B"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са в размер на </w:t>
      </w:r>
      <w:r w:rsidR="001D17AB">
        <w:rPr>
          <w:rFonts w:ascii="Calibri" w:hAnsi="Calibri" w:cs="Calibri"/>
          <w:bCs/>
          <w:sz w:val="22"/>
          <w:szCs w:val="22"/>
          <w:lang w:val="bg-BG" w:eastAsia="bg-BG"/>
        </w:rPr>
        <w:t>2</w:t>
      </w:r>
      <w:r w:rsidR="003A346B" w:rsidRPr="00E31137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 хил. </w:t>
      </w:r>
      <w:r w:rsidR="001D17AB">
        <w:rPr>
          <w:rFonts w:ascii="Calibri" w:hAnsi="Calibri" w:cs="Calibri"/>
          <w:b/>
          <w:bCs/>
          <w:sz w:val="22"/>
          <w:szCs w:val="22"/>
          <w:lang w:val="bg-BG" w:eastAsia="bg-BG"/>
        </w:rPr>
        <w:t>евро</w:t>
      </w:r>
      <w:r w:rsidR="003A346B" w:rsidRPr="00E31137">
        <w:rPr>
          <w:rFonts w:ascii="Calibri" w:hAnsi="Calibri" w:cs="Calibri"/>
          <w:bCs/>
          <w:sz w:val="22"/>
          <w:szCs w:val="22"/>
          <w:lang w:val="bg-BG" w:eastAsia="bg-BG"/>
        </w:rPr>
        <w:t xml:space="preserve"> , които включват:</w:t>
      </w:r>
    </w:p>
    <w:p w14:paraId="0D9AD828" w14:textId="36FF4EEA" w:rsidR="002A203A" w:rsidRDefault="003A346B" w:rsidP="003A346B">
      <w:pPr>
        <w:jc w:val="both"/>
        <w:rPr>
          <w:rFonts w:ascii="Calibri" w:hAnsi="Calibri" w:cs="Calibri"/>
          <w:bCs/>
          <w:sz w:val="22"/>
          <w:szCs w:val="22"/>
          <w:lang w:val="bg-BG"/>
        </w:rPr>
      </w:pPr>
      <w:r w:rsidRPr="00E31137">
        <w:rPr>
          <w:rFonts w:ascii="Calibri" w:hAnsi="Calibri" w:cs="Calibri"/>
          <w:bCs/>
          <w:sz w:val="22"/>
          <w:szCs w:val="22"/>
          <w:lang w:val="bg-BG"/>
        </w:rPr>
        <w:t xml:space="preserve">        - </w:t>
      </w:r>
      <w:r w:rsidR="00D216CB" w:rsidRPr="00E31137">
        <w:rPr>
          <w:rFonts w:ascii="Calibri" w:hAnsi="Calibri" w:cs="Calibri"/>
          <w:bCs/>
          <w:sz w:val="22"/>
          <w:szCs w:val="22"/>
          <w:lang w:val="bg-BG"/>
        </w:rPr>
        <w:t>разходи за непризнат данъчен кредит</w:t>
      </w:r>
      <w:r w:rsidR="002A203A" w:rsidRPr="00E31137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  <w:r w:rsidR="00D216CB" w:rsidRPr="00E31137">
        <w:rPr>
          <w:rFonts w:ascii="Calibri" w:hAnsi="Calibri" w:cs="Calibri"/>
          <w:bCs/>
          <w:sz w:val="22"/>
          <w:szCs w:val="22"/>
          <w:lang w:val="bg-BG"/>
        </w:rPr>
        <w:t xml:space="preserve">– </w:t>
      </w:r>
      <w:r w:rsidR="00B86E31">
        <w:rPr>
          <w:rFonts w:ascii="Calibri" w:hAnsi="Calibri" w:cs="Calibri"/>
          <w:bCs/>
          <w:sz w:val="22"/>
          <w:szCs w:val="22"/>
          <w:lang w:val="bg-BG"/>
        </w:rPr>
        <w:t>2</w:t>
      </w:r>
      <w:r w:rsidR="00D216CB" w:rsidRPr="00E31137">
        <w:rPr>
          <w:rFonts w:ascii="Calibri" w:hAnsi="Calibri" w:cs="Calibri"/>
          <w:bCs/>
          <w:sz w:val="22"/>
          <w:szCs w:val="22"/>
          <w:lang w:val="bg-BG"/>
        </w:rPr>
        <w:t xml:space="preserve"> хил. </w:t>
      </w:r>
      <w:r w:rsidR="001D17AB">
        <w:rPr>
          <w:rFonts w:ascii="Calibri" w:hAnsi="Calibri" w:cs="Calibri"/>
          <w:bCs/>
          <w:sz w:val="22"/>
          <w:szCs w:val="22"/>
          <w:lang w:val="bg-BG"/>
        </w:rPr>
        <w:t>евро</w:t>
      </w:r>
      <w:r w:rsidR="00D216CB" w:rsidRPr="00285774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  <w:r w:rsidR="002A203A" w:rsidRPr="00285774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</w:p>
    <w:p w14:paraId="08632690" w14:textId="77777777" w:rsidR="00082A48" w:rsidRDefault="00082A48" w:rsidP="003A346B">
      <w:pPr>
        <w:jc w:val="both"/>
        <w:rPr>
          <w:rFonts w:ascii="Calibri" w:hAnsi="Calibri" w:cs="Calibri"/>
          <w:bCs/>
          <w:sz w:val="22"/>
          <w:szCs w:val="22"/>
          <w:lang w:val="bg-BG"/>
        </w:rPr>
      </w:pPr>
    </w:p>
    <w:p w14:paraId="5ECB2659" w14:textId="77777777" w:rsidR="00D43EFE" w:rsidRPr="00285774" w:rsidRDefault="00D43EFE" w:rsidP="0039099B">
      <w:pPr>
        <w:suppressAutoHyphens/>
        <w:ind w:firstLine="709"/>
        <w:jc w:val="center"/>
        <w:rPr>
          <w:rFonts w:ascii="Calibri" w:hAnsi="Calibri" w:cs="Calibri"/>
          <w:b/>
          <w:bCs/>
          <w:sz w:val="22"/>
          <w:szCs w:val="22"/>
          <w:u w:val="single"/>
          <w:lang w:val="bg-BG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u w:val="single"/>
          <w:lang w:val="bg-BG" w:eastAsia="bg-BG"/>
        </w:rPr>
        <w:t>АНАЛИЗ НА ИКОНОМИЧЕСКОТО СЪСТОЯНИЕ</w:t>
      </w:r>
    </w:p>
    <w:p w14:paraId="73FBD9E1" w14:textId="77777777" w:rsidR="00AC2BDC" w:rsidRDefault="00AC2BDC" w:rsidP="0039099B">
      <w:pPr>
        <w:suppressAutoHyphens/>
        <w:ind w:firstLine="709"/>
        <w:jc w:val="center"/>
        <w:rPr>
          <w:rFonts w:ascii="Calibri" w:hAnsi="Calibri" w:cs="Calibri"/>
          <w:b/>
          <w:bCs/>
          <w:sz w:val="22"/>
          <w:szCs w:val="22"/>
          <w:lang w:val="bg-BG" w:eastAsia="bg-BG"/>
        </w:rPr>
      </w:pPr>
    </w:p>
    <w:p w14:paraId="328AFB7A" w14:textId="34D53FC3" w:rsidR="00D43EFE" w:rsidRPr="00285774" w:rsidRDefault="00D43EFE" w:rsidP="0039099B">
      <w:pPr>
        <w:suppressAutoHyphens/>
        <w:ind w:firstLine="709"/>
        <w:jc w:val="center"/>
        <w:rPr>
          <w:rFonts w:ascii="Calibri" w:hAnsi="Calibri" w:cs="Calibri"/>
          <w:b/>
          <w:bCs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Структура на приходите и разходите</w:t>
      </w:r>
    </w:p>
    <w:tbl>
      <w:tblPr>
        <w:tblW w:w="8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850"/>
        <w:gridCol w:w="1418"/>
        <w:gridCol w:w="992"/>
      </w:tblGrid>
      <w:tr w:rsidR="00D43EFE" w:rsidRPr="00285774" w14:paraId="794A1625" w14:textId="77777777" w:rsidTr="004E420F">
        <w:trPr>
          <w:trHeight w:val="7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E3451" w14:textId="77777777" w:rsidR="00D43EFE" w:rsidRPr="00285774" w:rsidRDefault="00D43EFE" w:rsidP="004E420F">
            <w:pPr>
              <w:suppressAutoHyphens/>
              <w:spacing w:line="240" w:lineRule="atLeas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9B55C" w14:textId="1DA0753D" w:rsidR="00D43EFE" w:rsidRPr="00285774" w:rsidRDefault="00D43EFE" w:rsidP="00331660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Отчет 3</w:t>
            </w:r>
            <w:r w:rsidR="00082A48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.</w:t>
            </w:r>
            <w:r w:rsidR="00403E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03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.20</w:t>
            </w:r>
            <w:r w:rsidR="00E85E09"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2</w:t>
            </w:r>
            <w:r w:rsidR="00D02ED9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6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   хил. </w:t>
            </w:r>
            <w:r w:rsidR="00331660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евро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4B2A" w14:textId="77777777" w:rsidR="00D43EFE" w:rsidRPr="00285774" w:rsidRDefault="00D43EFE" w:rsidP="004E420F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Дял в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33B56" w14:textId="3843AA59" w:rsidR="00D43EFE" w:rsidRPr="00285774" w:rsidRDefault="00D43EFE" w:rsidP="00331660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Отчет 3</w:t>
            </w:r>
            <w:r w:rsidR="00082A48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.</w:t>
            </w:r>
            <w:r w:rsidR="00403E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03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.20</w:t>
            </w:r>
            <w:r w:rsidR="000F19E8" w:rsidRPr="00285774">
              <w:rPr>
                <w:rFonts w:ascii="Calibri" w:hAnsi="Calibri" w:cs="Calibri"/>
                <w:b/>
                <w:bCs/>
                <w:sz w:val="22"/>
                <w:szCs w:val="22"/>
                <w:lang w:eastAsia="bg-BG"/>
              </w:rPr>
              <w:t>2</w:t>
            </w:r>
            <w:r w:rsidR="00D02ED9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5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  хил. </w:t>
            </w:r>
            <w:r w:rsidR="00331660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евро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2B1B" w14:textId="77777777" w:rsidR="00D43EFE" w:rsidRPr="00285774" w:rsidRDefault="00D43EFE" w:rsidP="004E420F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Дял в %</w:t>
            </w:r>
          </w:p>
          <w:p w14:paraId="57DAA072" w14:textId="77777777" w:rsidR="00D43EFE" w:rsidRPr="00285774" w:rsidRDefault="00D43EFE" w:rsidP="004E420F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</w:p>
        </w:tc>
      </w:tr>
      <w:tr w:rsidR="008B2287" w:rsidRPr="00285774" w14:paraId="31EF128B" w14:textId="77777777" w:rsidTr="004E420F">
        <w:trPr>
          <w:trHeight w:val="2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07664" w14:textId="77777777" w:rsidR="00D43EFE" w:rsidRPr="00285774" w:rsidRDefault="00D43EFE" w:rsidP="004E420F">
            <w:pPr>
              <w:suppressAutoHyphens/>
              <w:spacing w:line="240" w:lineRule="atLeas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 xml:space="preserve">Нетни приходи от продажби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A9201" w14:textId="069C4E64" w:rsidR="00D43EFE" w:rsidRPr="00285774" w:rsidRDefault="00436465" w:rsidP="00F9241E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FE244" w14:textId="77777777" w:rsidR="00D43EFE" w:rsidRPr="00285774" w:rsidRDefault="00D43EFE" w:rsidP="004E420F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8237E" w14:textId="5CEEA823" w:rsidR="00D43EFE" w:rsidRPr="00285774" w:rsidRDefault="00436465" w:rsidP="00A8456E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7BFA" w14:textId="77777777" w:rsidR="00D43EFE" w:rsidRPr="00285774" w:rsidRDefault="00D43EFE" w:rsidP="004E420F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eastAsia="bg-BG"/>
              </w:rPr>
            </w:pPr>
            <w:r w:rsidRPr="00285774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100</w:t>
            </w:r>
          </w:p>
        </w:tc>
      </w:tr>
      <w:tr w:rsidR="008B2287" w:rsidRPr="00285774" w14:paraId="2B83B995" w14:textId="77777777" w:rsidTr="00076299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7278D" w14:textId="77777777" w:rsidR="00D43EFE" w:rsidRPr="00285774" w:rsidRDefault="00D43EFE" w:rsidP="004E420F">
            <w:pPr>
              <w:suppressAutoHyphens/>
              <w:spacing w:line="240" w:lineRule="atLeas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 xml:space="preserve">Финансови приходи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529E3" w14:textId="7114C3E0" w:rsidR="00D43EFE" w:rsidRPr="00285774" w:rsidRDefault="00D02ED9" w:rsidP="004E420F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49EE3" w14:textId="77777777" w:rsidR="00D43EFE" w:rsidRPr="00285774" w:rsidRDefault="00D43EFE" w:rsidP="004E420F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057DC" w14:textId="77777777" w:rsidR="00D43EFE" w:rsidRPr="00285774" w:rsidRDefault="00D43EFE" w:rsidP="004E420F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7442" w14:textId="77777777" w:rsidR="00D43EFE" w:rsidRPr="00285774" w:rsidRDefault="00D43EFE" w:rsidP="004E420F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-</w:t>
            </w:r>
          </w:p>
        </w:tc>
      </w:tr>
      <w:tr w:rsidR="00D43EFE" w:rsidRPr="00285774" w14:paraId="423BD2B6" w14:textId="77777777" w:rsidTr="004E420F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3460B" w14:textId="77777777" w:rsidR="00D43EFE" w:rsidRPr="00285774" w:rsidRDefault="00D43EFE" w:rsidP="004E420F">
            <w:pPr>
              <w:suppressAutoHyphens/>
              <w:spacing w:line="240" w:lineRule="atLeas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Приходи общо: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307B0" w14:textId="5BBE855B" w:rsidR="00D43EFE" w:rsidRPr="00285774" w:rsidRDefault="00D02ED9" w:rsidP="00F9241E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AAFCC" w14:textId="77777777" w:rsidR="00D43EFE" w:rsidRPr="00285774" w:rsidRDefault="00D43EFE" w:rsidP="004E420F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6FC2E" w14:textId="35F58E2A" w:rsidR="00D43EFE" w:rsidRPr="00285774" w:rsidRDefault="00436465" w:rsidP="004E420F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26BC" w14:textId="77777777" w:rsidR="00D43EFE" w:rsidRPr="00285774" w:rsidRDefault="00D43EFE" w:rsidP="004E420F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100</w:t>
            </w:r>
          </w:p>
        </w:tc>
      </w:tr>
    </w:tbl>
    <w:p w14:paraId="5DC02B4B" w14:textId="77777777" w:rsidR="00AC2BDC" w:rsidRPr="00285774" w:rsidRDefault="00AC2BDC" w:rsidP="00D43EFE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bg-BG" w:eastAsia="bg-BG"/>
        </w:rPr>
      </w:pPr>
    </w:p>
    <w:tbl>
      <w:tblPr>
        <w:tblW w:w="8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850"/>
        <w:gridCol w:w="1418"/>
        <w:gridCol w:w="992"/>
      </w:tblGrid>
      <w:tr w:rsidR="00121A00" w:rsidRPr="00285774" w14:paraId="6282EB13" w14:textId="77777777" w:rsidTr="00C023A7">
        <w:trPr>
          <w:trHeight w:val="7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F176E" w14:textId="77777777" w:rsidR="00121A00" w:rsidRPr="00285774" w:rsidRDefault="00121A00" w:rsidP="00121A00">
            <w:pPr>
              <w:suppressAutoHyphens/>
              <w:spacing w:line="240" w:lineRule="atLeas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2C46F" w14:textId="5EB452BC" w:rsidR="00121A00" w:rsidRPr="00285774" w:rsidRDefault="00121A00" w:rsidP="0085424A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Отчет 3</w:t>
            </w:r>
            <w:r w:rsidR="00CB3AB9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.</w:t>
            </w:r>
            <w:r w:rsidR="009D7B79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03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.202</w:t>
            </w:r>
            <w:r w:rsidR="00A37D37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6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   хил. </w:t>
            </w:r>
            <w:r w:rsidR="0085424A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евро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69843" w14:textId="77777777" w:rsidR="00121A00" w:rsidRPr="00285774" w:rsidRDefault="00121A00" w:rsidP="00121A00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Дял в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C162F" w14:textId="77777777" w:rsidR="00121A00" w:rsidRPr="00285774" w:rsidRDefault="00121A00" w:rsidP="00121A00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Отчет </w:t>
            </w:r>
          </w:p>
          <w:p w14:paraId="37ABECBB" w14:textId="165BF1C8" w:rsidR="00121A00" w:rsidRPr="00285774" w:rsidRDefault="00121A00" w:rsidP="00121A00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3</w:t>
            </w:r>
            <w:r w:rsidR="00CB3AB9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.</w:t>
            </w:r>
            <w:r w:rsidR="009D7B79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03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20</w:t>
            </w:r>
            <w:r w:rsidR="00436465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2</w:t>
            </w:r>
            <w:r w:rsidR="00331660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5</w:t>
            </w: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  </w:t>
            </w:r>
          </w:p>
          <w:p w14:paraId="59A58BBD" w14:textId="57E46AC5" w:rsidR="00121A00" w:rsidRPr="00285774" w:rsidRDefault="00121A00" w:rsidP="0085424A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хил. </w:t>
            </w:r>
            <w:r w:rsidR="0085424A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евро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A847" w14:textId="77777777" w:rsidR="00121A00" w:rsidRPr="00285774" w:rsidRDefault="00121A00" w:rsidP="00121A00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Дял в %</w:t>
            </w:r>
          </w:p>
          <w:p w14:paraId="64BA84BB" w14:textId="77777777" w:rsidR="00121A00" w:rsidRPr="00285774" w:rsidRDefault="00121A00" w:rsidP="00121A00">
            <w:pPr>
              <w:suppressAutoHyphens/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</w:p>
        </w:tc>
      </w:tr>
      <w:tr w:rsidR="00121A00" w:rsidRPr="00285774" w14:paraId="6ABE069E" w14:textId="77777777" w:rsidTr="00C023A7">
        <w:trPr>
          <w:trHeight w:val="2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11C61" w14:textId="77777777" w:rsidR="00121A00" w:rsidRPr="00285774" w:rsidRDefault="00121A00" w:rsidP="00121A00">
            <w:pPr>
              <w:suppressAutoHyphens/>
              <w:spacing w:line="240" w:lineRule="atLeas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Разходи за дейността общо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AA555" w14:textId="4666CDB5" w:rsidR="00121A00" w:rsidRPr="00F67929" w:rsidRDefault="00A17C3F" w:rsidP="00D05B04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57D87" w14:textId="1B86D21B" w:rsidR="00121A00" w:rsidRPr="00285774" w:rsidRDefault="00A17C3F" w:rsidP="00121A00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D811B" w14:textId="07B78A6F" w:rsidR="00121A00" w:rsidRPr="00285774" w:rsidRDefault="00A17C3F" w:rsidP="00436465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B336" w14:textId="77777777" w:rsidR="00121A00" w:rsidRPr="00285774" w:rsidRDefault="007C399B" w:rsidP="00A26D16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100</w:t>
            </w:r>
          </w:p>
        </w:tc>
      </w:tr>
      <w:tr w:rsidR="00121A00" w:rsidRPr="00285774" w14:paraId="0FA0A2C2" w14:textId="77777777" w:rsidTr="00C023A7">
        <w:trPr>
          <w:trHeight w:val="2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B9BC" w14:textId="77777777" w:rsidR="00121A00" w:rsidRPr="00285774" w:rsidRDefault="00121A00" w:rsidP="00121A00">
            <w:pPr>
              <w:suppressAutoHyphens/>
              <w:spacing w:line="240" w:lineRule="atLeas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Финансови разходи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22F12" w14:textId="107695D7" w:rsidR="00121A00" w:rsidRPr="00285774" w:rsidRDefault="00A17C3F" w:rsidP="00436465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4B436" w14:textId="7FEAFEFC" w:rsidR="00121A00" w:rsidRPr="00285774" w:rsidRDefault="00A17C3F" w:rsidP="00121A00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23A08" w14:textId="556ED427" w:rsidR="00121A00" w:rsidRPr="00285774" w:rsidRDefault="00A17C3F" w:rsidP="00121A00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2A82" w14:textId="77777777" w:rsidR="00121A00" w:rsidRPr="00285774" w:rsidRDefault="007C399B" w:rsidP="00B672F7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-</w:t>
            </w:r>
          </w:p>
        </w:tc>
      </w:tr>
      <w:tr w:rsidR="00121A00" w:rsidRPr="00285774" w14:paraId="35BC90DF" w14:textId="77777777" w:rsidTr="00C023A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A4AD" w14:textId="77777777" w:rsidR="00121A00" w:rsidRPr="00285774" w:rsidRDefault="00121A00" w:rsidP="00121A00">
            <w:pPr>
              <w:suppressAutoHyphens/>
              <w:spacing w:line="240" w:lineRule="atLeas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Разходи общо: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A3D2A" w14:textId="1FB3357F" w:rsidR="00121A00" w:rsidRPr="00F67929" w:rsidRDefault="00A17C3F" w:rsidP="00121A00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95690" w14:textId="77777777" w:rsidR="00121A00" w:rsidRPr="00285774" w:rsidRDefault="00121A00" w:rsidP="00121A00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AB825" w14:textId="5FC8D470" w:rsidR="00121A00" w:rsidRPr="00285774" w:rsidRDefault="00A17C3F" w:rsidP="00436465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1139" w14:textId="77777777" w:rsidR="00121A00" w:rsidRPr="00285774" w:rsidRDefault="00121A00" w:rsidP="00121A00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85774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100</w:t>
            </w:r>
          </w:p>
        </w:tc>
      </w:tr>
      <w:tr w:rsidR="006755A3" w:rsidRPr="00285774" w14:paraId="7B803D86" w14:textId="77777777" w:rsidTr="00C023A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9AB3" w14:textId="09EFDB3C" w:rsidR="006755A3" w:rsidRPr="00285774" w:rsidRDefault="006755A3" w:rsidP="00D02ED9">
            <w:pPr>
              <w:suppressAutoHyphens/>
              <w:spacing w:line="240" w:lineRule="atLeast"/>
              <w:rPr>
                <w:rFonts w:ascii="Calibri" w:hAnsi="Calibri" w:cs="Calibri"/>
                <w:b/>
                <w:sz w:val="22"/>
                <w:szCs w:val="22"/>
                <w:lang w:val="bg-BG" w:eastAsia="ar-SA"/>
              </w:rPr>
            </w:pPr>
            <w:r w:rsidRPr="005A289D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 xml:space="preserve">Печалби от </w:t>
            </w:r>
            <w:r w:rsidR="00D02ED9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продажба</w:t>
            </w:r>
            <w:r w:rsidRPr="005A289D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 xml:space="preserve"> на инвестиционни имоти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176C8" w14:textId="41D0E478" w:rsidR="006755A3" w:rsidRDefault="007C399B" w:rsidP="0085424A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(</w:t>
            </w:r>
            <w:r w:rsidR="0085424A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24</w:t>
            </w: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6A183" w14:textId="77777777" w:rsidR="006755A3" w:rsidRPr="00285774" w:rsidRDefault="006755A3" w:rsidP="00121A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EE3AD" w14:textId="53244D23" w:rsidR="006755A3" w:rsidRDefault="0085424A" w:rsidP="00847778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2976" w14:textId="77777777" w:rsidR="006755A3" w:rsidRPr="00285774" w:rsidRDefault="006755A3" w:rsidP="00121A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bg-BG" w:eastAsia="ar-SA"/>
              </w:rPr>
            </w:pPr>
          </w:p>
        </w:tc>
      </w:tr>
      <w:tr w:rsidR="00121A00" w:rsidRPr="00285774" w14:paraId="61B48E31" w14:textId="77777777" w:rsidTr="00C023A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53D96" w14:textId="77777777" w:rsidR="00121A00" w:rsidRPr="00285774" w:rsidRDefault="00121A00" w:rsidP="00121A00">
            <w:pPr>
              <w:suppressAutoHyphens/>
              <w:spacing w:line="240" w:lineRule="atLeast"/>
              <w:rPr>
                <w:rFonts w:ascii="Calibri" w:hAnsi="Calibri" w:cs="Calibri"/>
                <w:b/>
                <w:sz w:val="22"/>
                <w:szCs w:val="22"/>
                <w:lang w:val="bg-BG" w:eastAsia="ar-SA"/>
              </w:rPr>
            </w:pPr>
            <w:r w:rsidRPr="00285774">
              <w:rPr>
                <w:rFonts w:ascii="Calibri" w:hAnsi="Calibri" w:cs="Calibri"/>
                <w:b/>
                <w:sz w:val="22"/>
                <w:szCs w:val="22"/>
                <w:lang w:val="bg-BG" w:eastAsia="ar-SA"/>
              </w:rPr>
              <w:t>Финансов резултат преди данъци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8595F" w14:textId="71073F14" w:rsidR="00121A00" w:rsidRPr="00285774" w:rsidRDefault="00E73528" w:rsidP="0085424A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(</w:t>
            </w:r>
            <w:r w:rsidR="0085424A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</w:t>
            </w: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935A1" w14:textId="77777777" w:rsidR="00121A00" w:rsidRPr="00285774" w:rsidRDefault="00121A00" w:rsidP="00121A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B4116" w14:textId="71B4067D" w:rsidR="00121A00" w:rsidRPr="00285774" w:rsidRDefault="00E73528" w:rsidP="0085424A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(</w:t>
            </w:r>
            <w:r w:rsidR="0085424A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43</w:t>
            </w: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141" w14:textId="77777777" w:rsidR="00121A00" w:rsidRPr="00285774" w:rsidRDefault="00121A00" w:rsidP="00121A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bg-BG" w:eastAsia="ar-SA"/>
              </w:rPr>
            </w:pPr>
          </w:p>
        </w:tc>
      </w:tr>
      <w:tr w:rsidR="00121A00" w:rsidRPr="00285774" w14:paraId="22DFCBA8" w14:textId="77777777" w:rsidTr="00C023A7">
        <w:trPr>
          <w:trHeight w:val="40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D700" w14:textId="77777777" w:rsidR="00121A00" w:rsidRPr="00285774" w:rsidRDefault="00121A00" w:rsidP="00121A00">
            <w:pPr>
              <w:suppressAutoHyphens/>
              <w:spacing w:line="240" w:lineRule="atLeast"/>
              <w:rPr>
                <w:rFonts w:ascii="Calibri" w:hAnsi="Calibri" w:cs="Calibri"/>
                <w:b/>
                <w:sz w:val="22"/>
                <w:szCs w:val="22"/>
                <w:lang w:val="bg-BG" w:eastAsia="ar-SA"/>
              </w:rPr>
            </w:pPr>
            <w:r w:rsidRPr="00285774">
              <w:rPr>
                <w:rFonts w:ascii="Calibri" w:hAnsi="Calibri" w:cs="Calibri"/>
                <w:b/>
                <w:sz w:val="22"/>
                <w:szCs w:val="22"/>
                <w:lang w:val="bg-BG" w:eastAsia="ar-SA"/>
              </w:rPr>
              <w:t>Финансов резултат след данъци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7F5BC" w14:textId="51C6C37A" w:rsidR="00121A00" w:rsidRPr="00285774" w:rsidRDefault="00E73528" w:rsidP="0085424A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(</w:t>
            </w:r>
            <w:r w:rsidR="0085424A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1</w:t>
            </w: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B2C3B" w14:textId="77777777" w:rsidR="00121A00" w:rsidRPr="00285774" w:rsidRDefault="00121A00" w:rsidP="00121A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bg-BG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C7B60" w14:textId="0E039CBF" w:rsidR="00121A00" w:rsidRPr="00285774" w:rsidRDefault="00E73528" w:rsidP="0085424A">
            <w:pPr>
              <w:suppressAutoHyphens/>
              <w:spacing w:line="240" w:lineRule="atLeast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(</w:t>
            </w:r>
            <w:r w:rsidR="0085424A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43</w:t>
            </w:r>
            <w:r w:rsidRPr="00763CE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BE3C" w14:textId="77777777" w:rsidR="00121A00" w:rsidRPr="00285774" w:rsidRDefault="00121A00" w:rsidP="00121A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bg-BG" w:eastAsia="ar-SA"/>
              </w:rPr>
            </w:pPr>
          </w:p>
        </w:tc>
      </w:tr>
    </w:tbl>
    <w:p w14:paraId="7E94A6EC" w14:textId="56C26FC7" w:rsidR="00D43EFE" w:rsidRPr="00285774" w:rsidRDefault="00D43EFE" w:rsidP="00D43EFE">
      <w:pPr>
        <w:ind w:firstLine="708"/>
        <w:jc w:val="both"/>
        <w:rPr>
          <w:rFonts w:ascii="Calibri" w:hAnsi="Calibri" w:cs="Calibri"/>
          <w:bCs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>Финансовият резултат към 3</w:t>
      </w:r>
      <w:r w:rsidR="00E537BC">
        <w:rPr>
          <w:rFonts w:ascii="Calibri" w:hAnsi="Calibri" w:cs="Calibri"/>
          <w:bCs/>
          <w:sz w:val="22"/>
          <w:szCs w:val="22"/>
          <w:lang w:val="bg-BG" w:eastAsia="bg-BG"/>
        </w:rPr>
        <w:t>1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>.</w:t>
      </w:r>
      <w:r w:rsidR="002F0D86">
        <w:rPr>
          <w:rFonts w:ascii="Calibri" w:hAnsi="Calibri" w:cs="Calibri"/>
          <w:bCs/>
          <w:sz w:val="22"/>
          <w:szCs w:val="22"/>
          <w:lang w:val="bg-BG" w:eastAsia="bg-BG"/>
        </w:rPr>
        <w:t>03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>.20</w:t>
      </w:r>
      <w:r w:rsidR="00E85E09" w:rsidRPr="00285774">
        <w:rPr>
          <w:rFonts w:ascii="Calibri" w:hAnsi="Calibri" w:cs="Calibri"/>
          <w:bCs/>
          <w:sz w:val="22"/>
          <w:szCs w:val="22"/>
          <w:lang w:val="bg-BG" w:eastAsia="bg-BG"/>
        </w:rPr>
        <w:t>2</w:t>
      </w:r>
      <w:r w:rsidR="00A26A19">
        <w:rPr>
          <w:rFonts w:ascii="Calibri" w:hAnsi="Calibri" w:cs="Calibri"/>
          <w:bCs/>
          <w:sz w:val="22"/>
          <w:szCs w:val="22"/>
          <w:lang w:val="bg-BG" w:eastAsia="bg-BG"/>
        </w:rPr>
        <w:t>6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 г. е </w:t>
      </w:r>
      <w:r w:rsidR="002F0D86">
        <w:rPr>
          <w:rFonts w:ascii="Calibri" w:hAnsi="Calibri" w:cs="Calibri"/>
          <w:bCs/>
          <w:sz w:val="22"/>
          <w:szCs w:val="22"/>
          <w:lang w:val="bg-BG" w:eastAsia="bg-BG"/>
        </w:rPr>
        <w:t>загула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 в размер на </w:t>
      </w:r>
      <w:r w:rsidR="00A26A19">
        <w:rPr>
          <w:rFonts w:ascii="Calibri" w:hAnsi="Calibri" w:cs="Calibri"/>
          <w:bCs/>
          <w:sz w:val="22"/>
          <w:szCs w:val="22"/>
          <w:lang w:val="ru-RU" w:eastAsia="bg-BG"/>
        </w:rPr>
        <w:t>1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 хил. </w:t>
      </w:r>
      <w:r w:rsidR="00A26A19">
        <w:rPr>
          <w:rFonts w:ascii="Calibri" w:hAnsi="Calibri" w:cs="Calibri"/>
          <w:bCs/>
          <w:sz w:val="22"/>
          <w:szCs w:val="22"/>
          <w:lang w:val="bg-BG" w:eastAsia="bg-BG"/>
        </w:rPr>
        <w:t>евро</w:t>
      </w:r>
      <w:r w:rsidRPr="00285774">
        <w:rPr>
          <w:rFonts w:ascii="Calibri" w:hAnsi="Calibri" w:cs="Calibri"/>
          <w:bCs/>
          <w:sz w:val="22"/>
          <w:szCs w:val="22"/>
          <w:lang w:val="bg-BG" w:eastAsia="bg-BG"/>
        </w:rPr>
        <w:t xml:space="preserve"> </w:t>
      </w:r>
    </w:p>
    <w:p w14:paraId="27D4A319" w14:textId="77777777" w:rsidR="00D43EFE" w:rsidRPr="00285774" w:rsidRDefault="00D43EFE" w:rsidP="00D43EFE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bg-BG" w:eastAsia="bg-BG"/>
        </w:rPr>
      </w:pPr>
    </w:p>
    <w:p w14:paraId="2381B732" w14:textId="77777777" w:rsidR="00D43EFE" w:rsidRPr="00360173" w:rsidRDefault="00D43EFE" w:rsidP="00D43EFE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bg-BG" w:eastAsia="bg-BG"/>
        </w:rPr>
      </w:pPr>
      <w:r w:rsidRPr="00360173">
        <w:rPr>
          <w:rFonts w:ascii="Calibri" w:hAnsi="Calibri" w:cs="Calibri"/>
          <w:b/>
          <w:bCs/>
          <w:sz w:val="22"/>
          <w:szCs w:val="22"/>
          <w:u w:val="single"/>
          <w:lang w:val="bg-BG" w:eastAsia="bg-BG"/>
        </w:rPr>
        <w:t>СИСТЕМАТИЗИРАНА ФИНАНСОВА ИНФОРМАЦИЯ</w:t>
      </w:r>
    </w:p>
    <w:tbl>
      <w:tblPr>
        <w:tblpPr w:leftFromText="180" w:rightFromText="180" w:vertAnchor="text" w:horzAnchor="margin" w:tblpY="162"/>
        <w:tblW w:w="8930" w:type="dxa"/>
        <w:tblLayout w:type="fixed"/>
        <w:tblLook w:val="0000" w:firstRow="0" w:lastRow="0" w:firstColumn="0" w:lastColumn="0" w:noHBand="0" w:noVBand="0"/>
      </w:tblPr>
      <w:tblGrid>
        <w:gridCol w:w="5811"/>
        <w:gridCol w:w="1560"/>
        <w:gridCol w:w="1559"/>
      </w:tblGrid>
      <w:tr w:rsidR="00AC2BDC" w:rsidRPr="00300D06" w14:paraId="5EA9B5D0" w14:textId="77777777" w:rsidTr="00AC2BDC">
        <w:trPr>
          <w:trHeight w:val="362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8AA21" w14:textId="77777777" w:rsidR="00AC2BDC" w:rsidRPr="00360173" w:rsidRDefault="00AC2BDC" w:rsidP="00AC2BDC">
            <w:pPr>
              <w:suppressAutoHyphens/>
              <w:ind w:firstLine="34"/>
              <w:rPr>
                <w:rFonts w:ascii="Calibri" w:hAnsi="Calibri" w:cs="Calibri"/>
                <w:b/>
                <w:sz w:val="22"/>
                <w:szCs w:val="22"/>
                <w:lang w:val="bg-BG" w:eastAsia="ar-SA"/>
              </w:rPr>
            </w:pP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Показател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3575B" w14:textId="69CF19D9" w:rsidR="00AC2BDC" w:rsidRPr="00360173" w:rsidRDefault="00AC2BDC" w:rsidP="00485028">
            <w:pPr>
              <w:suppressAutoHyphens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31.03.</w:t>
            </w: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eastAsia="bg-BG"/>
              </w:rPr>
              <w:t>2</w:t>
            </w: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02</w:t>
            </w:r>
            <w:r w:rsidR="00485028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6</w:t>
            </w: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B0DB5" w14:textId="4D4CB2E3" w:rsidR="00AC2BDC" w:rsidRPr="00360173" w:rsidRDefault="00AC2BDC" w:rsidP="00593668">
            <w:pPr>
              <w:suppressAutoHyphens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31.03</w:t>
            </w: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eastAsia="bg-BG"/>
              </w:rPr>
              <w:t>.</w:t>
            </w: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20</w:t>
            </w: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eastAsia="bg-BG"/>
              </w:rPr>
              <w:t>2</w:t>
            </w:r>
            <w:r w:rsidR="00593668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5</w:t>
            </w: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 xml:space="preserve">г.   </w:t>
            </w:r>
          </w:p>
        </w:tc>
      </w:tr>
      <w:tr w:rsidR="00AC2BDC" w:rsidRPr="00300D06" w14:paraId="2BBE71A9" w14:textId="77777777" w:rsidTr="00AC2BDC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0DD55" w14:textId="0CAA905B" w:rsidR="00AC2BDC" w:rsidRPr="00360173" w:rsidRDefault="00AC2BDC" w:rsidP="00D618CC">
            <w:pPr>
              <w:suppressAutoHyphens/>
              <w:ind w:firstLine="34"/>
              <w:rPr>
                <w:rFonts w:ascii="Calibri" w:hAnsi="Calibri" w:cs="Calibri"/>
                <w:bCs/>
                <w:sz w:val="22"/>
                <w:szCs w:val="22"/>
                <w:lang w:val="ru-RU"/>
              </w:rPr>
            </w:pPr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Приходи от 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дейността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 (хил. </w:t>
            </w:r>
            <w:r w:rsidR="00D618CC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евро</w:t>
            </w:r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7C784" w14:textId="77777777" w:rsidR="00AC2BDC" w:rsidRPr="00360173" w:rsidRDefault="00AC2BDC" w:rsidP="00AC2BDC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DF14A" w14:textId="436BDE7D" w:rsidR="00AC2BDC" w:rsidRPr="00360173" w:rsidRDefault="00593668" w:rsidP="00AC2BDC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2</w:t>
            </w:r>
          </w:p>
        </w:tc>
      </w:tr>
      <w:tr w:rsidR="00593668" w:rsidRPr="00300D06" w14:paraId="3BE6EF53" w14:textId="77777777" w:rsidTr="00AC2BDC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28B3" w14:textId="52B8F88C" w:rsidR="00593668" w:rsidRPr="00360173" w:rsidRDefault="00593668" w:rsidP="00D618CC">
            <w:pPr>
              <w:ind w:firstLine="34"/>
              <w:rPr>
                <w:rFonts w:ascii="Calibri" w:hAnsi="Calibri" w:cs="Calibri"/>
                <w:bCs/>
                <w:sz w:val="22"/>
                <w:szCs w:val="22"/>
                <w:lang w:val="ru-RU"/>
              </w:rPr>
            </w:pP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Печалба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/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загуба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дейността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 (хил. </w:t>
            </w:r>
            <w:r w:rsidR="00D618CC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евро</w:t>
            </w:r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53FBB" w14:textId="61347933" w:rsidR="00593668" w:rsidRPr="00485028" w:rsidRDefault="00593668" w:rsidP="004F4F4D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(</w:t>
            </w:r>
            <w:r w:rsidR="004F4F4D"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</w:t>
            </w: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AC792" w14:textId="479A6374" w:rsidR="00593668" w:rsidRPr="00485028" w:rsidRDefault="00593668" w:rsidP="004F4F4D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(</w:t>
            </w:r>
            <w:r w:rsidR="004F4F4D"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43</w:t>
            </w: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)</w:t>
            </w:r>
          </w:p>
        </w:tc>
      </w:tr>
      <w:tr w:rsidR="00593668" w:rsidRPr="00300D06" w14:paraId="74D06852" w14:textId="77777777" w:rsidTr="00AC2BDC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82157" w14:textId="03FBE309" w:rsidR="00593668" w:rsidRPr="00360173" w:rsidRDefault="00593668" w:rsidP="00D618CC">
            <w:pPr>
              <w:suppressAutoHyphens/>
              <w:ind w:firstLine="34"/>
              <w:rPr>
                <w:rFonts w:ascii="Calibri" w:hAnsi="Calibri" w:cs="Calibri"/>
                <w:bCs/>
                <w:sz w:val="22"/>
                <w:szCs w:val="22"/>
                <w:lang w:val="ru-RU"/>
              </w:rPr>
            </w:pP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Нетна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печалба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/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загуба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 (хил. </w:t>
            </w:r>
            <w:r w:rsidR="00D618CC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евро</w:t>
            </w:r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3C673" w14:textId="03AB8EAE" w:rsidR="00593668" w:rsidRPr="00485028" w:rsidRDefault="00593668" w:rsidP="004F4F4D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(</w:t>
            </w:r>
            <w:r w:rsidR="004F4F4D"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</w:t>
            </w: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0D3F7" w14:textId="4A2858DD" w:rsidR="00593668" w:rsidRPr="00485028" w:rsidRDefault="00593668" w:rsidP="004F4F4D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(</w:t>
            </w:r>
            <w:r w:rsidR="004F4F4D"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43</w:t>
            </w: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)</w:t>
            </w:r>
          </w:p>
        </w:tc>
      </w:tr>
      <w:tr w:rsidR="00593668" w:rsidRPr="00300D06" w14:paraId="6ABDFA15" w14:textId="77777777" w:rsidTr="00AC2BDC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F777" w14:textId="77777777" w:rsidR="00593668" w:rsidRPr="00360173" w:rsidRDefault="00593668" w:rsidP="00593668">
            <w:pPr>
              <w:ind w:firstLine="34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893BA" w14:textId="77777777" w:rsidR="00593668" w:rsidRPr="00485028" w:rsidRDefault="00593668" w:rsidP="00593668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83E61" w14:textId="77777777" w:rsidR="00593668" w:rsidRPr="00485028" w:rsidRDefault="00593668" w:rsidP="00593668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</w:p>
        </w:tc>
      </w:tr>
      <w:tr w:rsidR="00593668" w:rsidRPr="00300D06" w14:paraId="1B459CDE" w14:textId="77777777" w:rsidTr="00AC2BDC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FF895" w14:textId="77777777" w:rsidR="00593668" w:rsidRPr="00360173" w:rsidRDefault="00593668" w:rsidP="00593668">
            <w:pPr>
              <w:ind w:firstLine="34"/>
              <w:rPr>
                <w:rFonts w:ascii="Calibri" w:hAnsi="Calibri" w:cs="Calibri"/>
                <w:bCs/>
                <w:sz w:val="22"/>
                <w:szCs w:val="22"/>
              </w:rPr>
            </w:pPr>
            <w:r w:rsidRPr="00360173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Показател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036C1" w14:textId="5042AA0E" w:rsidR="00593668" w:rsidRPr="00201E17" w:rsidRDefault="00593668" w:rsidP="004F4F4D">
            <w:pPr>
              <w:suppressAutoHyphens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01E17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31.03.202</w:t>
            </w:r>
            <w:r w:rsidR="004F4F4D" w:rsidRPr="00201E17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6</w:t>
            </w:r>
            <w:r w:rsidRPr="00201E17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18705" w14:textId="15D4E8F4" w:rsidR="00593668" w:rsidRPr="00201E17" w:rsidRDefault="00593668" w:rsidP="00593668">
            <w:pPr>
              <w:suppressAutoHyphens/>
              <w:ind w:firstLine="176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</w:pPr>
            <w:r w:rsidRPr="00201E17">
              <w:rPr>
                <w:rFonts w:ascii="Calibri" w:hAnsi="Calibri" w:cs="Calibri"/>
                <w:b/>
                <w:bCs/>
                <w:sz w:val="22"/>
                <w:szCs w:val="22"/>
                <w:lang w:val="bg-BG" w:eastAsia="bg-BG"/>
              </w:rPr>
              <w:t>31.03.2025г.</w:t>
            </w:r>
          </w:p>
        </w:tc>
      </w:tr>
      <w:tr w:rsidR="00593668" w:rsidRPr="00300D06" w14:paraId="6117D57A" w14:textId="77777777" w:rsidTr="00AC2BDC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A027" w14:textId="4ABB55D5" w:rsidR="00593668" w:rsidRPr="00360173" w:rsidRDefault="00593668" w:rsidP="00D618CC">
            <w:pPr>
              <w:ind w:firstLine="34"/>
              <w:rPr>
                <w:rFonts w:ascii="Calibri" w:hAnsi="Calibri" w:cs="Calibri"/>
                <w:bCs/>
                <w:sz w:val="22"/>
                <w:szCs w:val="22"/>
                <w:lang w:val="ru-RU"/>
              </w:rPr>
            </w:pPr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lastRenderedPageBreak/>
              <w:t xml:space="preserve">Сума на 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активите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 (хил. </w:t>
            </w:r>
            <w:r w:rsidR="00D618CC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евро</w:t>
            </w:r>
            <w:r w:rsidRPr="0036017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FD826" w14:textId="7E496F2C" w:rsidR="00593668" w:rsidRPr="00485028" w:rsidRDefault="00EA4010" w:rsidP="00593668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485028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7 883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41DCC" w14:textId="5720BA31" w:rsidR="00593668" w:rsidRPr="00485028" w:rsidRDefault="00EA4010" w:rsidP="00593668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7 936</w:t>
            </w:r>
          </w:p>
        </w:tc>
      </w:tr>
      <w:tr w:rsidR="00593668" w:rsidRPr="00300D06" w14:paraId="086FB71C" w14:textId="77777777" w:rsidTr="00AC2BDC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59644" w14:textId="03AD889C" w:rsidR="00593668" w:rsidRPr="00360173" w:rsidRDefault="00593668" w:rsidP="00D618CC">
            <w:pPr>
              <w:ind w:firstLine="34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Собствен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капитал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хил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="00D618CC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евро</w:t>
            </w:r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28C96" w14:textId="4D17574C" w:rsidR="00593668" w:rsidRPr="00485028" w:rsidRDefault="00EA4010" w:rsidP="00593668">
            <w:pPr>
              <w:suppressAutoHyphens/>
              <w:ind w:firstLine="317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85028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6 702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8472F" w14:textId="3E404EEB" w:rsidR="00593668" w:rsidRPr="00485028" w:rsidRDefault="00EA4010" w:rsidP="00593668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 w:rsidRPr="00485028"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6 703</w:t>
            </w:r>
          </w:p>
        </w:tc>
      </w:tr>
      <w:tr w:rsidR="00593668" w:rsidRPr="00300D06" w14:paraId="51DAD629" w14:textId="77777777" w:rsidTr="00AC2BDC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06944" w14:textId="77777777" w:rsidR="00593668" w:rsidRPr="00360173" w:rsidRDefault="00593668" w:rsidP="00593668">
            <w:pPr>
              <w:suppressAutoHyphens/>
              <w:ind w:firstLine="34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Брой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акции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3231B" w14:textId="4B8D3FBC" w:rsidR="00593668" w:rsidRPr="00485028" w:rsidRDefault="00801A14" w:rsidP="00593668">
            <w:pPr>
              <w:suppressAutoHyphens/>
              <w:ind w:firstLine="34"/>
              <w:jc w:val="right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10 136 447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68EA2" w14:textId="0230FEA9" w:rsidR="00593668" w:rsidRPr="00485028" w:rsidRDefault="00801A14" w:rsidP="00593668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10 136 447</w:t>
            </w:r>
          </w:p>
        </w:tc>
      </w:tr>
      <w:tr w:rsidR="00593668" w:rsidRPr="00300D06" w14:paraId="1D325363" w14:textId="77777777" w:rsidTr="00AC2BDC"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6BFBB" w14:textId="4F15DADB" w:rsidR="00593668" w:rsidRPr="00360173" w:rsidRDefault="00593668" w:rsidP="00D618CC">
            <w:pPr>
              <w:suppressAutoHyphens/>
              <w:ind w:firstLine="34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Текущи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активи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хил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="00D618CC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евро</w:t>
            </w:r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644CC" w14:textId="33A2E71F" w:rsidR="00593668" w:rsidRPr="00485028" w:rsidRDefault="00853B1D" w:rsidP="00593668">
            <w:pPr>
              <w:suppressAutoHyphens/>
              <w:ind w:firstLine="317"/>
              <w:jc w:val="right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1 512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A141D" w14:textId="6D95EDC7" w:rsidR="00593668" w:rsidRPr="00485028" w:rsidRDefault="00853B1D" w:rsidP="00593668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1 538</w:t>
            </w:r>
          </w:p>
        </w:tc>
      </w:tr>
      <w:tr w:rsidR="00593668" w:rsidRPr="00285774" w14:paraId="28BEB1C1" w14:textId="77777777" w:rsidTr="00AC2BDC">
        <w:trPr>
          <w:trHeight w:val="196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5AEF2" w14:textId="1C3D155A" w:rsidR="00593668" w:rsidRPr="00360173" w:rsidRDefault="00593668" w:rsidP="00D618CC">
            <w:pPr>
              <w:ind w:firstLine="34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Текущи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пасиви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proofErr w:type="spellStart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хил</w:t>
            </w:r>
            <w:proofErr w:type="spellEnd"/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="00D618CC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евро</w:t>
            </w:r>
            <w:r w:rsidRPr="00360173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53350" w14:textId="1F29FD08" w:rsidR="00593668" w:rsidRPr="00485028" w:rsidRDefault="00AE5B29" w:rsidP="00593668">
            <w:pPr>
              <w:suppressAutoHyphens/>
              <w:ind w:firstLine="317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E3CC8" w14:textId="13BB2D02" w:rsidR="00593668" w:rsidRPr="00485028" w:rsidRDefault="00AE5B29" w:rsidP="00593668">
            <w:pPr>
              <w:suppressAutoHyphens/>
              <w:ind w:firstLine="176"/>
              <w:jc w:val="right"/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 w:eastAsia="bg-BG"/>
              </w:rPr>
              <w:t>210</w:t>
            </w:r>
          </w:p>
        </w:tc>
      </w:tr>
    </w:tbl>
    <w:p w14:paraId="57362BE6" w14:textId="1517B33E" w:rsidR="00D43EFE" w:rsidRPr="00285774" w:rsidRDefault="00D43EFE" w:rsidP="00D43EFE">
      <w:pPr>
        <w:jc w:val="both"/>
        <w:rPr>
          <w:rFonts w:ascii="Calibri" w:hAnsi="Calibri" w:cs="Calibri"/>
          <w:bCs/>
          <w:sz w:val="22"/>
          <w:szCs w:val="22"/>
          <w:lang w:val="bg-BG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Общият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размер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активите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към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3</w:t>
      </w:r>
      <w:r w:rsidR="001A47B7">
        <w:rPr>
          <w:rFonts w:ascii="Calibri" w:hAnsi="Calibri" w:cs="Calibri"/>
          <w:bCs/>
          <w:sz w:val="22"/>
          <w:szCs w:val="22"/>
          <w:lang w:val="bg-BG"/>
        </w:rPr>
        <w:t>1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>.</w:t>
      </w:r>
      <w:r w:rsidR="007D03E8">
        <w:rPr>
          <w:rFonts w:ascii="Calibri" w:hAnsi="Calibri" w:cs="Calibri"/>
          <w:bCs/>
          <w:sz w:val="22"/>
          <w:szCs w:val="22"/>
          <w:lang w:val="ru-RU"/>
        </w:rPr>
        <w:t>03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>.20</w:t>
      </w:r>
      <w:r w:rsidR="00E4184F" w:rsidRPr="00285774">
        <w:rPr>
          <w:rFonts w:ascii="Calibri" w:hAnsi="Calibri" w:cs="Calibri"/>
          <w:bCs/>
          <w:sz w:val="22"/>
          <w:szCs w:val="22"/>
          <w:lang w:val="bg-BG"/>
        </w:rPr>
        <w:t>2</w:t>
      </w:r>
      <w:r w:rsidR="005960F0">
        <w:rPr>
          <w:rFonts w:ascii="Calibri" w:hAnsi="Calibri" w:cs="Calibri"/>
          <w:bCs/>
          <w:sz w:val="22"/>
          <w:szCs w:val="22"/>
          <w:lang w:val="bg-BG"/>
        </w:rPr>
        <w:t>6</w:t>
      </w:r>
      <w:r w:rsidRPr="00285774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г. е </w:t>
      </w:r>
      <w:r w:rsidR="00175EAD">
        <w:rPr>
          <w:rFonts w:ascii="Calibri" w:hAnsi="Calibri" w:cs="Calibri"/>
          <w:bCs/>
          <w:sz w:val="22"/>
          <w:szCs w:val="22"/>
          <w:lang w:val="ru-RU"/>
        </w:rPr>
        <w:t>7 883</w:t>
      </w:r>
      <w:r w:rsidR="00F11972"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>хил.</w:t>
      </w:r>
      <w:r w:rsidR="00175EAD">
        <w:rPr>
          <w:rFonts w:ascii="Calibri" w:hAnsi="Calibri" w:cs="Calibri"/>
          <w:bCs/>
          <w:sz w:val="22"/>
          <w:szCs w:val="22"/>
          <w:lang w:val="ru-RU"/>
        </w:rPr>
        <w:t xml:space="preserve"> евро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>,</w:t>
      </w:r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 xml:space="preserve"> от </w:t>
      </w:r>
      <w:proofErr w:type="spellStart"/>
      <w:proofErr w:type="gramStart"/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>които</w:t>
      </w:r>
      <w:proofErr w:type="spellEnd"/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 xml:space="preserve">  </w:t>
      </w:r>
      <w:r w:rsidR="00175EAD">
        <w:rPr>
          <w:rFonts w:ascii="Calibri" w:hAnsi="Calibri" w:cs="Calibri"/>
          <w:bCs/>
          <w:sz w:val="22"/>
          <w:szCs w:val="22"/>
          <w:lang w:val="bg-BG"/>
        </w:rPr>
        <w:t>6</w:t>
      </w:r>
      <w:proofErr w:type="gramEnd"/>
      <w:r w:rsidR="00175EAD">
        <w:rPr>
          <w:rFonts w:ascii="Calibri" w:hAnsi="Calibri" w:cs="Calibri"/>
          <w:bCs/>
          <w:sz w:val="22"/>
          <w:szCs w:val="22"/>
          <w:lang w:val="bg-BG"/>
        </w:rPr>
        <w:t xml:space="preserve"> 370</w:t>
      </w:r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 xml:space="preserve"> хил. </w:t>
      </w:r>
      <w:r w:rsidR="00175EAD">
        <w:rPr>
          <w:rFonts w:ascii="Calibri" w:hAnsi="Calibri" w:cs="Calibri"/>
          <w:bCs/>
          <w:sz w:val="22"/>
          <w:szCs w:val="22"/>
          <w:lang w:val="ru-RU"/>
        </w:rPr>
        <w:t>евро</w:t>
      </w:r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 xml:space="preserve"> е </w:t>
      </w:r>
      <w:proofErr w:type="spellStart"/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>стойността</w:t>
      </w:r>
      <w:proofErr w:type="spellEnd"/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>инвестиционните</w:t>
      </w:r>
      <w:proofErr w:type="spellEnd"/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="00BE1232" w:rsidRPr="00285774">
        <w:rPr>
          <w:rFonts w:ascii="Calibri" w:hAnsi="Calibri" w:cs="Calibri"/>
          <w:bCs/>
          <w:sz w:val="22"/>
          <w:szCs w:val="22"/>
          <w:lang w:val="ru-RU"/>
        </w:rPr>
        <w:t>имоти</w:t>
      </w:r>
      <w:proofErr w:type="spellEnd"/>
      <w:r w:rsidR="00BE1232" w:rsidRPr="00285774">
        <w:rPr>
          <w:rFonts w:ascii="Calibri" w:hAnsi="Calibri" w:cs="Calibri"/>
          <w:bCs/>
          <w:sz w:val="22"/>
          <w:szCs w:val="22"/>
          <w:lang w:val="bg-BG"/>
        </w:rPr>
        <w:t>, п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аричните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средства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в размер на </w:t>
      </w:r>
      <w:proofErr w:type="gramStart"/>
      <w:r w:rsidR="00175EAD">
        <w:rPr>
          <w:rFonts w:ascii="Calibri" w:hAnsi="Calibri" w:cs="Calibri"/>
          <w:bCs/>
          <w:sz w:val="22"/>
          <w:szCs w:val="22"/>
          <w:lang w:val="ru-RU"/>
        </w:rPr>
        <w:t>52</w:t>
      </w:r>
      <w:r w:rsidR="003726E4" w:rsidRPr="00285774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хил</w:t>
      </w:r>
      <w:proofErr w:type="gram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. </w:t>
      </w:r>
      <w:r w:rsidR="00175EAD">
        <w:rPr>
          <w:rFonts w:ascii="Calibri" w:hAnsi="Calibri" w:cs="Calibri"/>
          <w:bCs/>
          <w:sz w:val="22"/>
          <w:szCs w:val="22"/>
          <w:lang w:val="ru-RU"/>
        </w:rPr>
        <w:t>евро</w:t>
      </w:r>
      <w:r w:rsidR="00BE1232" w:rsidRPr="00285774">
        <w:rPr>
          <w:rFonts w:ascii="Calibri" w:hAnsi="Calibri" w:cs="Calibri"/>
          <w:bCs/>
          <w:sz w:val="22"/>
          <w:szCs w:val="22"/>
          <w:lang w:val="bg-BG"/>
        </w:rPr>
        <w:t xml:space="preserve">, търговски и други вземанията – </w:t>
      </w:r>
      <w:r w:rsidR="00381417">
        <w:rPr>
          <w:rFonts w:ascii="Calibri" w:hAnsi="Calibri" w:cs="Calibri"/>
          <w:bCs/>
          <w:sz w:val="22"/>
          <w:szCs w:val="22"/>
          <w:lang w:val="bg-BG"/>
        </w:rPr>
        <w:t>2</w:t>
      </w:r>
      <w:r w:rsidR="00175EAD">
        <w:rPr>
          <w:rFonts w:ascii="Calibri" w:hAnsi="Calibri" w:cs="Calibri"/>
          <w:bCs/>
          <w:sz w:val="22"/>
          <w:szCs w:val="22"/>
          <w:lang w:val="bg-BG"/>
        </w:rPr>
        <w:t>1</w:t>
      </w:r>
      <w:r w:rsidR="00BE1232" w:rsidRPr="00285774">
        <w:rPr>
          <w:rFonts w:ascii="Calibri" w:hAnsi="Calibri" w:cs="Calibri"/>
          <w:bCs/>
          <w:sz w:val="22"/>
          <w:szCs w:val="22"/>
          <w:lang w:val="bg-BG"/>
        </w:rPr>
        <w:t xml:space="preserve"> хил. </w:t>
      </w:r>
      <w:r w:rsidR="00175EAD">
        <w:rPr>
          <w:rFonts w:ascii="Calibri" w:hAnsi="Calibri" w:cs="Calibri"/>
          <w:bCs/>
          <w:sz w:val="22"/>
          <w:szCs w:val="22"/>
          <w:lang w:val="bg-BG"/>
        </w:rPr>
        <w:t>евро</w:t>
      </w:r>
      <w:r w:rsidR="00E4184F" w:rsidRPr="00285774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</w:p>
    <w:p w14:paraId="543F0094" w14:textId="6BB3A4AA" w:rsidR="00D43EFE" w:rsidRPr="00285774" w:rsidRDefault="00D43EFE" w:rsidP="00D43EFE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Собственият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капитал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към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bg-BG"/>
        </w:rPr>
        <w:t xml:space="preserve"> 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>3</w:t>
      </w:r>
      <w:r w:rsidR="00FB6B36">
        <w:rPr>
          <w:rFonts w:ascii="Calibri" w:hAnsi="Calibri" w:cs="Calibri"/>
          <w:bCs/>
          <w:sz w:val="22"/>
          <w:szCs w:val="22"/>
          <w:lang w:val="bg-BG"/>
        </w:rPr>
        <w:t>1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>.</w:t>
      </w:r>
      <w:r w:rsidR="005C4C4C">
        <w:rPr>
          <w:rFonts w:ascii="Calibri" w:hAnsi="Calibri" w:cs="Calibri"/>
          <w:bCs/>
          <w:sz w:val="22"/>
          <w:szCs w:val="22"/>
          <w:lang w:val="ru-RU"/>
        </w:rPr>
        <w:t>03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>.20</w:t>
      </w:r>
      <w:r w:rsidR="00E4184F" w:rsidRPr="00285774">
        <w:rPr>
          <w:rFonts w:ascii="Calibri" w:hAnsi="Calibri" w:cs="Calibri"/>
          <w:bCs/>
          <w:sz w:val="22"/>
          <w:szCs w:val="22"/>
          <w:lang w:val="bg-BG"/>
        </w:rPr>
        <w:t>2</w:t>
      </w:r>
      <w:r w:rsidR="00A75838">
        <w:rPr>
          <w:rFonts w:ascii="Calibri" w:hAnsi="Calibri" w:cs="Calibri"/>
          <w:bCs/>
          <w:sz w:val="22"/>
          <w:szCs w:val="22"/>
          <w:lang w:val="bg-BG"/>
        </w:rPr>
        <w:t>6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г.  е в размер на </w:t>
      </w:r>
      <w:r w:rsidR="00A75838">
        <w:rPr>
          <w:rFonts w:ascii="Calibri" w:hAnsi="Calibri" w:cs="Calibri"/>
          <w:bCs/>
          <w:sz w:val="22"/>
          <w:szCs w:val="22"/>
          <w:lang w:val="ru-RU"/>
        </w:rPr>
        <w:t>6 702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хил. </w:t>
      </w:r>
      <w:r w:rsidR="00A75838">
        <w:rPr>
          <w:rFonts w:ascii="Calibri" w:hAnsi="Calibri" w:cs="Calibri"/>
          <w:bCs/>
          <w:sz w:val="22"/>
          <w:szCs w:val="22"/>
          <w:lang w:val="ru-RU"/>
        </w:rPr>
        <w:t>евро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., от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които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основният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капитал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възлиза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r w:rsidR="00A75838">
        <w:rPr>
          <w:rFonts w:ascii="Calibri" w:hAnsi="Calibri" w:cs="Calibri"/>
          <w:bCs/>
          <w:sz w:val="22"/>
          <w:szCs w:val="22"/>
          <w:lang w:val="ru-RU"/>
        </w:rPr>
        <w:t>5 1</w:t>
      </w:r>
      <w:r w:rsidR="00BA390E">
        <w:rPr>
          <w:rFonts w:ascii="Calibri" w:hAnsi="Calibri" w:cs="Calibri"/>
          <w:bCs/>
          <w:sz w:val="22"/>
          <w:szCs w:val="22"/>
          <w:lang w:val="ru-RU"/>
        </w:rPr>
        <w:t>70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хил. </w:t>
      </w:r>
      <w:r w:rsidR="00A75838">
        <w:rPr>
          <w:rFonts w:ascii="Calibri" w:hAnsi="Calibri" w:cs="Calibri"/>
          <w:bCs/>
          <w:sz w:val="22"/>
          <w:szCs w:val="22"/>
          <w:lang w:val="ru-RU"/>
        </w:rPr>
        <w:t>евро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финансовият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резултат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текущия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период е </w:t>
      </w:r>
      <w:proofErr w:type="spellStart"/>
      <w:r w:rsidR="001E4C09">
        <w:rPr>
          <w:rFonts w:ascii="Calibri" w:hAnsi="Calibri" w:cs="Calibri"/>
          <w:bCs/>
          <w:sz w:val="22"/>
          <w:szCs w:val="22"/>
          <w:lang w:val="ru-RU"/>
        </w:rPr>
        <w:t>загуба</w:t>
      </w:r>
      <w:proofErr w:type="spellEnd"/>
      <w:r w:rsidR="001E4C09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в размер на </w:t>
      </w:r>
      <w:r w:rsidR="00A75838">
        <w:rPr>
          <w:rFonts w:ascii="Calibri" w:hAnsi="Calibri" w:cs="Calibri"/>
          <w:bCs/>
          <w:sz w:val="22"/>
          <w:szCs w:val="22"/>
          <w:lang w:val="ru-RU"/>
        </w:rPr>
        <w:t>1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хил. </w:t>
      </w:r>
      <w:r w:rsidR="00A75838">
        <w:rPr>
          <w:rFonts w:ascii="Calibri" w:hAnsi="Calibri" w:cs="Calibri"/>
          <w:bCs/>
          <w:sz w:val="22"/>
          <w:szCs w:val="22"/>
          <w:lang w:val="ru-RU"/>
        </w:rPr>
        <w:t>евро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="00142E08" w:rsidRPr="00285774">
        <w:rPr>
          <w:rFonts w:ascii="Calibri" w:hAnsi="Calibri" w:cs="Calibri"/>
          <w:bCs/>
          <w:sz w:val="22"/>
          <w:szCs w:val="22"/>
          <w:lang w:val="ru-RU"/>
        </w:rPr>
        <w:t>неразпределената</w:t>
      </w:r>
      <w:proofErr w:type="spellEnd"/>
      <w:r w:rsidR="00142E08"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="00142E08" w:rsidRPr="00285774">
        <w:rPr>
          <w:rFonts w:ascii="Calibri" w:hAnsi="Calibri" w:cs="Calibri"/>
          <w:bCs/>
          <w:sz w:val="22"/>
          <w:szCs w:val="22"/>
          <w:lang w:val="ru-RU"/>
        </w:rPr>
        <w:t>печалба</w:t>
      </w:r>
      <w:proofErr w:type="spellEnd"/>
      <w:r w:rsidR="00142E08" w:rsidRPr="00285774">
        <w:rPr>
          <w:rFonts w:ascii="Calibri" w:hAnsi="Calibri" w:cs="Calibri"/>
          <w:bCs/>
          <w:sz w:val="22"/>
          <w:szCs w:val="22"/>
          <w:lang w:val="ru-RU"/>
        </w:rPr>
        <w:t xml:space="preserve"> в размер на </w:t>
      </w:r>
      <w:r w:rsidR="00A75838">
        <w:rPr>
          <w:rFonts w:ascii="Calibri" w:hAnsi="Calibri" w:cs="Calibri"/>
          <w:bCs/>
          <w:sz w:val="22"/>
          <w:szCs w:val="22"/>
          <w:lang w:val="ru-RU"/>
        </w:rPr>
        <w:t>8</w:t>
      </w:r>
      <w:r w:rsidR="00EE5253">
        <w:rPr>
          <w:rFonts w:ascii="Calibri" w:hAnsi="Calibri" w:cs="Calibri"/>
          <w:bCs/>
          <w:sz w:val="22"/>
          <w:szCs w:val="22"/>
          <w:lang w:val="ru-RU"/>
        </w:rPr>
        <w:t>88</w:t>
      </w:r>
      <w:r w:rsidR="00142E08" w:rsidRPr="00285774">
        <w:rPr>
          <w:rFonts w:ascii="Calibri" w:hAnsi="Calibri" w:cs="Calibri"/>
          <w:bCs/>
          <w:sz w:val="22"/>
          <w:szCs w:val="22"/>
          <w:lang w:val="ru-RU"/>
        </w:rPr>
        <w:t xml:space="preserve"> хил. </w:t>
      </w:r>
      <w:r w:rsidR="0037379C">
        <w:rPr>
          <w:rFonts w:ascii="Calibri" w:hAnsi="Calibri" w:cs="Calibri"/>
          <w:bCs/>
          <w:sz w:val="22"/>
          <w:szCs w:val="22"/>
          <w:lang w:val="ru-RU"/>
        </w:rPr>
        <w:t>евро.</w:t>
      </w:r>
    </w:p>
    <w:p w14:paraId="1006086F" w14:textId="77777777" w:rsidR="00FC4906" w:rsidRPr="00285774" w:rsidRDefault="00FC4906" w:rsidP="00D43EFE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</w:p>
    <w:p w14:paraId="527E358F" w14:textId="77777777" w:rsidR="00D43EFE" w:rsidRPr="00285774" w:rsidRDefault="00DA1397" w:rsidP="00D43EFE">
      <w:pPr>
        <w:suppressAutoHyphens/>
        <w:ind w:right="198"/>
        <w:rPr>
          <w:rFonts w:ascii="Calibri" w:hAnsi="Calibri" w:cs="Calibri"/>
          <w:b/>
          <w:bCs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5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. УПРАВЛЕНИЕ НА РИСКА</w:t>
      </w:r>
    </w:p>
    <w:p w14:paraId="4ED9815F" w14:textId="77777777" w:rsidR="00D43EFE" w:rsidRPr="00285774" w:rsidRDefault="00D43EFE" w:rsidP="00D43EFE">
      <w:pPr>
        <w:suppressAutoHyphens/>
        <w:ind w:left="120" w:right="198" w:firstLine="709"/>
        <w:jc w:val="both"/>
        <w:rPr>
          <w:rFonts w:ascii="Calibri" w:hAnsi="Calibri" w:cs="Calibri"/>
          <w:bCs/>
          <w:sz w:val="22"/>
          <w:szCs w:val="22"/>
          <w:lang w:val="ru-RU"/>
        </w:rPr>
      </w:pPr>
    </w:p>
    <w:p w14:paraId="0944EBDD" w14:textId="77777777" w:rsidR="00D43EFE" w:rsidRPr="00285774" w:rsidRDefault="00D43EFE" w:rsidP="00D43EFE">
      <w:pPr>
        <w:suppressAutoHyphens/>
        <w:ind w:left="120" w:right="198" w:firstLine="709"/>
        <w:jc w:val="both"/>
        <w:rPr>
          <w:rFonts w:ascii="Calibri" w:hAnsi="Calibri" w:cs="Calibri"/>
          <w:bCs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Управлението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gramStart"/>
      <w:r w:rsidRPr="00285774">
        <w:rPr>
          <w:rFonts w:ascii="Calibri" w:hAnsi="Calibri" w:cs="Calibri"/>
          <w:bCs/>
          <w:sz w:val="22"/>
          <w:szCs w:val="22"/>
          <w:lang w:val="ru-RU"/>
        </w:rPr>
        <w:t>на риска</w:t>
      </w:r>
      <w:proofErr w:type="gram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е неделима част от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управленската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политика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ръководството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.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Рискът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може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да се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дефинира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като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несигурността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Pr="00285774">
        <w:rPr>
          <w:rFonts w:ascii="Calibri" w:hAnsi="Calibri" w:cs="Calibri"/>
          <w:bCs/>
          <w:sz w:val="22"/>
          <w:szCs w:val="22"/>
          <w:lang w:val="bg-BG"/>
        </w:rPr>
        <w:t>на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дадена прогноза да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съвпадне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с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действителността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под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влиянието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различни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фактори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>.</w:t>
      </w:r>
    </w:p>
    <w:p w14:paraId="3419224D" w14:textId="77777777" w:rsidR="00D43EFE" w:rsidRPr="00285774" w:rsidRDefault="00D43EFE" w:rsidP="00D43EFE">
      <w:pPr>
        <w:suppressAutoHyphens/>
        <w:ind w:left="120" w:right="198" w:firstLine="709"/>
        <w:jc w:val="both"/>
        <w:rPr>
          <w:rFonts w:ascii="Calibri" w:hAnsi="Calibri" w:cs="Calibri"/>
          <w:bCs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Рисковете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оказващи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влияние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обособени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зависимост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пораждащите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ги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фактори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възможността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рискът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да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бъде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елиминиран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ограничаван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или не.</w:t>
      </w:r>
    </w:p>
    <w:p w14:paraId="4345B379" w14:textId="77777777" w:rsidR="00D43EFE" w:rsidRPr="00285774" w:rsidRDefault="00D43EFE" w:rsidP="00D43EFE">
      <w:pPr>
        <w:suppressAutoHyphens/>
        <w:ind w:left="120" w:right="198" w:firstLine="709"/>
        <w:rPr>
          <w:rFonts w:ascii="Calibri" w:hAnsi="Calibri" w:cs="Calibri"/>
          <w:bCs/>
          <w:sz w:val="22"/>
          <w:szCs w:val="22"/>
          <w:lang w:val="bg-BG"/>
        </w:rPr>
      </w:pP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Описание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основните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рискове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несигурности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пред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които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е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изправено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"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Риъл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Булленд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" АД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през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следващия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финансов период</w:t>
      </w:r>
      <w:r w:rsidRPr="00285774">
        <w:rPr>
          <w:rFonts w:ascii="Calibri" w:hAnsi="Calibri" w:cs="Calibri"/>
          <w:bCs/>
          <w:sz w:val="22"/>
          <w:szCs w:val="22"/>
          <w:lang w:val="bg-BG"/>
        </w:rPr>
        <w:t>:</w:t>
      </w:r>
    </w:p>
    <w:p w14:paraId="6402F814" w14:textId="77777777" w:rsidR="00D43EFE" w:rsidRPr="00285774" w:rsidRDefault="00D43EFE" w:rsidP="00D43EFE">
      <w:pPr>
        <w:suppressAutoHyphens/>
        <w:ind w:right="198"/>
        <w:rPr>
          <w:rFonts w:ascii="Calibri" w:hAnsi="Calibri" w:cs="Calibri"/>
          <w:b/>
          <w:bCs/>
          <w:sz w:val="22"/>
          <w:szCs w:val="22"/>
          <w:lang w:val="bg-BG" w:eastAsia="bg-BG"/>
        </w:rPr>
      </w:pPr>
    </w:p>
    <w:p w14:paraId="60F41046" w14:textId="77777777" w:rsidR="00D43EFE" w:rsidRPr="00285774" w:rsidRDefault="00DA1397" w:rsidP="00D43EFE">
      <w:pPr>
        <w:suppressAutoHyphens/>
        <w:ind w:right="198"/>
        <w:rPr>
          <w:rFonts w:ascii="Calibri" w:hAnsi="Calibri" w:cs="Calibri"/>
          <w:b/>
          <w:bCs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5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bg-BG" w:eastAsia="bg-BG"/>
        </w:rPr>
        <w:t>.1. СИСТЕМАТИЧНИ РИСКОВЕ</w:t>
      </w:r>
    </w:p>
    <w:p w14:paraId="0E2134AF" w14:textId="77777777" w:rsidR="00D43EFE" w:rsidRPr="00285774" w:rsidRDefault="00D43EFE" w:rsidP="00D43EFE">
      <w:pPr>
        <w:suppressAutoHyphens/>
        <w:ind w:right="198"/>
        <w:jc w:val="center"/>
        <w:rPr>
          <w:rFonts w:ascii="Calibri" w:hAnsi="Calibri" w:cs="Calibri"/>
          <w:b/>
          <w:bCs/>
          <w:i/>
          <w:sz w:val="22"/>
          <w:szCs w:val="22"/>
          <w:lang w:val="bg-BG"/>
        </w:rPr>
      </w:pPr>
    </w:p>
    <w:p w14:paraId="2AEEDC97" w14:textId="77777777" w:rsidR="00D43EFE" w:rsidRPr="00285774" w:rsidRDefault="00D43EFE" w:rsidP="00D43EFE">
      <w:pPr>
        <w:jc w:val="both"/>
        <w:rPr>
          <w:rFonts w:ascii="Calibri" w:hAnsi="Calibri" w:cs="Calibri"/>
          <w:b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Систематичните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рискове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тези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които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действат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извън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емитента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оказват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ключово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влияние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върху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дейността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състоянието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му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. Те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свързани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със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състоянието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макроикономическата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среда,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политическата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стабилност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процеси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регионалното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развитие и др.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Основното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ограничаване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влиянието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систематичните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рискове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събирането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анализирането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текущата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информация,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както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използването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прогнози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независими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източници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за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състоянието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системата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като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цяло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. </w:t>
      </w:r>
      <w:proofErr w:type="spellStart"/>
      <w:r w:rsidRPr="00D37BC0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D37BC0">
        <w:rPr>
          <w:rFonts w:ascii="Calibri" w:hAnsi="Calibri" w:cs="Calibri"/>
          <w:sz w:val="22"/>
          <w:szCs w:val="22"/>
          <w:lang w:val="ru-RU"/>
        </w:rPr>
        <w:t xml:space="preserve"> определя </w:t>
      </w:r>
      <w:proofErr w:type="spellStart"/>
      <w:r w:rsidRPr="00D37BC0">
        <w:rPr>
          <w:rFonts w:ascii="Calibri" w:hAnsi="Calibri" w:cs="Calibri"/>
          <w:sz w:val="22"/>
          <w:szCs w:val="22"/>
          <w:lang w:val="ru-RU"/>
        </w:rPr>
        <w:t>следните</w:t>
      </w:r>
      <w:proofErr w:type="spellEnd"/>
      <w:r w:rsidRPr="00D37BC0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D37BC0">
        <w:rPr>
          <w:rFonts w:ascii="Calibri" w:hAnsi="Calibri" w:cs="Calibri"/>
          <w:sz w:val="22"/>
          <w:szCs w:val="22"/>
          <w:lang w:val="ru-RU"/>
        </w:rPr>
        <w:t>систематични</w:t>
      </w:r>
      <w:proofErr w:type="spellEnd"/>
      <w:r w:rsidRPr="00D37BC0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D37BC0">
        <w:rPr>
          <w:rFonts w:ascii="Calibri" w:hAnsi="Calibri" w:cs="Calibri"/>
          <w:sz w:val="22"/>
          <w:szCs w:val="22"/>
          <w:lang w:val="ru-RU"/>
        </w:rPr>
        <w:t>рискове</w:t>
      </w:r>
      <w:proofErr w:type="spellEnd"/>
      <w:r w:rsidRPr="00D37BC0">
        <w:rPr>
          <w:rFonts w:ascii="Calibri" w:hAnsi="Calibri" w:cs="Calibri"/>
          <w:sz w:val="22"/>
          <w:szCs w:val="22"/>
          <w:lang w:val="ru-RU"/>
        </w:rPr>
        <w:t>:</w:t>
      </w:r>
    </w:p>
    <w:p w14:paraId="28915D7B" w14:textId="77777777" w:rsidR="00D43EFE" w:rsidRPr="00285774" w:rsidRDefault="00D43EFE" w:rsidP="00D43EFE">
      <w:pPr>
        <w:numPr>
          <w:ilvl w:val="0"/>
          <w:numId w:val="3"/>
        </w:numPr>
        <w:rPr>
          <w:rFonts w:ascii="Calibri" w:hAnsi="Calibri" w:cs="Calibri"/>
          <w:sz w:val="22"/>
          <w:szCs w:val="22"/>
          <w:lang w:val="ru-RU"/>
        </w:rPr>
      </w:pPr>
      <w:r w:rsidRPr="00285774">
        <w:rPr>
          <w:rFonts w:ascii="Calibri" w:hAnsi="Calibri" w:cs="Calibri"/>
          <w:sz w:val="22"/>
          <w:szCs w:val="22"/>
          <w:lang w:val="ru-RU"/>
        </w:rPr>
        <w:t>политически риск;</w:t>
      </w:r>
    </w:p>
    <w:p w14:paraId="6BBBFC3E" w14:textId="77777777" w:rsidR="00D43EFE" w:rsidRPr="00285774" w:rsidRDefault="00D43EFE" w:rsidP="00D43EFE">
      <w:pPr>
        <w:numPr>
          <w:ilvl w:val="0"/>
          <w:numId w:val="3"/>
        </w:numPr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инфлационен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риск;</w:t>
      </w:r>
    </w:p>
    <w:p w14:paraId="25C8B815" w14:textId="77777777" w:rsidR="00D43EFE" w:rsidRPr="00285774" w:rsidRDefault="00D43EFE" w:rsidP="00D43EFE">
      <w:pPr>
        <w:numPr>
          <w:ilvl w:val="0"/>
          <w:numId w:val="3"/>
        </w:numPr>
        <w:rPr>
          <w:rFonts w:ascii="Calibri" w:hAnsi="Calibri" w:cs="Calibri"/>
          <w:sz w:val="22"/>
          <w:szCs w:val="22"/>
          <w:lang w:val="ru-RU"/>
        </w:rPr>
      </w:pPr>
      <w:r w:rsidRPr="00285774">
        <w:rPr>
          <w:rFonts w:ascii="Calibri" w:hAnsi="Calibri" w:cs="Calibri"/>
          <w:sz w:val="22"/>
          <w:szCs w:val="22"/>
          <w:lang w:val="ru-RU"/>
        </w:rPr>
        <w:t xml:space="preserve">риск,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свързан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промени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данъчните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закони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>.</w:t>
      </w:r>
    </w:p>
    <w:p w14:paraId="204AC44A" w14:textId="77777777" w:rsidR="00D43EFE" w:rsidRPr="00285774" w:rsidRDefault="00D43EFE" w:rsidP="00D43EFE">
      <w:pPr>
        <w:ind w:left="720"/>
        <w:rPr>
          <w:rFonts w:ascii="Calibri" w:hAnsi="Calibri" w:cs="Calibri"/>
          <w:sz w:val="22"/>
          <w:szCs w:val="22"/>
          <w:lang w:val="ru-RU"/>
        </w:rPr>
      </w:pPr>
    </w:p>
    <w:p w14:paraId="6F59095F" w14:textId="77777777" w:rsidR="00D43EFE" w:rsidRPr="00285774" w:rsidRDefault="00D43EFE" w:rsidP="00D43EF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Политическият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отразява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влиянието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политическите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процеси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страната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върху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стопанския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инвстиционния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процес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и в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частност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върху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възвращаемостта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инвестициите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>.</w:t>
      </w:r>
    </w:p>
    <w:p w14:paraId="45C96E15" w14:textId="77777777" w:rsidR="00D43EFE" w:rsidRPr="00285774" w:rsidRDefault="00D43EFE" w:rsidP="00D43EF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Макроикономическият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 се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характеризира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чрез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основните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макроикономически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индикатори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: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брутен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вътрешен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продукт,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валутни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курсове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лихвени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равнища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инфлация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бюджетен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дефицит, безработица и др. </w:t>
      </w:r>
    </w:p>
    <w:p w14:paraId="5B90FD1C" w14:textId="77777777" w:rsidR="00D43EFE" w:rsidRPr="00285774" w:rsidRDefault="00D43EFE" w:rsidP="00D43EFE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Лихвеният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 е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свързан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с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възможни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евентуални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негативни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промени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лихвените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нива,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установени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финансовите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институции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Република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България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. </w:t>
      </w:r>
    </w:p>
    <w:p w14:paraId="644B0113" w14:textId="77777777" w:rsidR="007102A1" w:rsidRPr="00285774" w:rsidRDefault="007102A1" w:rsidP="00D43EFE">
      <w:pPr>
        <w:jc w:val="both"/>
        <w:rPr>
          <w:rFonts w:ascii="Calibri" w:hAnsi="Calibri" w:cs="Calibri"/>
          <w:bCs/>
          <w:sz w:val="22"/>
          <w:szCs w:val="22"/>
          <w:lang w:val="bg-BG"/>
        </w:rPr>
      </w:pPr>
    </w:p>
    <w:p w14:paraId="2C7510F1" w14:textId="77777777" w:rsidR="00D43EFE" w:rsidRPr="00285774" w:rsidRDefault="00DA1397" w:rsidP="00D43EFE">
      <w:pPr>
        <w:spacing w:after="200" w:line="276" w:lineRule="auto"/>
        <w:rPr>
          <w:rFonts w:ascii="Calibri" w:hAnsi="Calibri" w:cs="Calibri"/>
          <w:b/>
          <w:bCs/>
          <w:sz w:val="22"/>
          <w:szCs w:val="22"/>
          <w:lang w:val="ru-RU"/>
        </w:rPr>
      </w:pPr>
      <w:r w:rsidRPr="00285774">
        <w:rPr>
          <w:rFonts w:ascii="Calibri" w:hAnsi="Calibri" w:cs="Calibri"/>
          <w:b/>
          <w:bCs/>
          <w:sz w:val="22"/>
          <w:szCs w:val="22"/>
          <w:lang w:val="bg-BG"/>
        </w:rPr>
        <w:t>5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bg-BG"/>
        </w:rPr>
        <w:t>.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ru-RU"/>
        </w:rPr>
        <w:t>2. НЕСИСТЕМАТИЧНИ РИСКОВЕ</w:t>
      </w:r>
    </w:p>
    <w:p w14:paraId="2217BBA1" w14:textId="77777777" w:rsidR="00D43EFE" w:rsidRPr="00285774" w:rsidRDefault="00D43EFE" w:rsidP="00D43EFE">
      <w:pPr>
        <w:suppressAutoHyphens/>
        <w:ind w:left="284" w:right="340" w:firstLine="709"/>
        <w:jc w:val="both"/>
        <w:rPr>
          <w:rFonts w:ascii="Calibri" w:hAnsi="Calibri" w:cs="Calibri"/>
          <w:bCs/>
          <w:sz w:val="22"/>
          <w:szCs w:val="22"/>
          <w:lang w:val="bg-BG"/>
        </w:rPr>
      </w:pP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В хода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обичайната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си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стопанска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дейност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е изложено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различни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финансови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рискове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>, най-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важните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които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: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пазарен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 (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включващ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валутен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риск, риск от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промяна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справедливата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стойност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ценови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риск),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кредитен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риск, ликвиден риск и риск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лихвено-обвързани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парични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потоци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.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Текущо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финансовите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рискове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се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наблюдават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за да се определят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адекватни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цени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активите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както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и да се оценят </w:t>
      </w:r>
      <w:r w:rsidRPr="00285774">
        <w:rPr>
          <w:rFonts w:ascii="Calibri" w:hAnsi="Calibri" w:cs="Calibri"/>
          <w:bCs/>
          <w:sz w:val="22"/>
          <w:szCs w:val="22"/>
          <w:lang w:val="ru-RU"/>
        </w:rPr>
        <w:lastRenderedPageBreak/>
        <w:t xml:space="preserve">адекватно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пазарните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обстоятелства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правените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от него инвестиции 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формите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поддържане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свободните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ликвидни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средства, без да се допуска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неоправдана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концентрация на даден риск. </w:t>
      </w:r>
    </w:p>
    <w:p w14:paraId="0385CD4F" w14:textId="77777777" w:rsidR="00D43EFE" w:rsidRPr="00285774" w:rsidRDefault="00D43EFE" w:rsidP="00D43EFE">
      <w:pPr>
        <w:suppressAutoHyphens/>
        <w:ind w:left="284" w:right="340" w:firstLine="709"/>
        <w:jc w:val="both"/>
        <w:rPr>
          <w:rFonts w:ascii="Calibri" w:hAnsi="Calibri" w:cs="Calibri"/>
          <w:bCs/>
          <w:sz w:val="22"/>
          <w:szCs w:val="22"/>
          <w:lang w:val="ru-RU"/>
        </w:rPr>
      </w:pPr>
    </w:p>
    <w:p w14:paraId="3F21FD8E" w14:textId="77777777" w:rsidR="00D43EFE" w:rsidRPr="00285774" w:rsidRDefault="00D43EFE" w:rsidP="00D43EFE">
      <w:pPr>
        <w:suppressAutoHyphens/>
        <w:ind w:right="118" w:firstLine="709"/>
        <w:jc w:val="both"/>
        <w:rPr>
          <w:rFonts w:ascii="Calibri" w:hAnsi="Calibri" w:cs="Calibri"/>
          <w:bCs/>
          <w:sz w:val="22"/>
          <w:szCs w:val="22"/>
          <w:lang w:val="ru-RU"/>
        </w:rPr>
      </w:pPr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Пазарен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</w:t>
      </w:r>
    </w:p>
    <w:p w14:paraId="160910B9" w14:textId="77777777" w:rsidR="00D43EFE" w:rsidRPr="00285774" w:rsidRDefault="00D43EFE" w:rsidP="00D43EFE">
      <w:pPr>
        <w:suppressAutoHyphens/>
        <w:ind w:left="120" w:right="238" w:firstLine="709"/>
        <w:jc w:val="both"/>
        <w:rPr>
          <w:rFonts w:ascii="Calibri" w:hAnsi="Calibri" w:cs="Calibri"/>
          <w:bCs/>
          <w:sz w:val="22"/>
          <w:szCs w:val="22"/>
          <w:lang w:val="bg-BG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Пазарният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включва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>:</w:t>
      </w:r>
    </w:p>
    <w:p w14:paraId="74D33E67" w14:textId="77777777" w:rsidR="00D43EFE" w:rsidRPr="00285774" w:rsidRDefault="00D43EFE" w:rsidP="00D43EFE">
      <w:pPr>
        <w:suppressAutoHyphens/>
        <w:ind w:left="120" w:right="238" w:firstLine="709"/>
        <w:jc w:val="both"/>
        <w:rPr>
          <w:rFonts w:ascii="Calibri" w:hAnsi="Calibri" w:cs="Calibri"/>
          <w:bCs/>
          <w:sz w:val="22"/>
          <w:szCs w:val="22"/>
          <w:lang w:val="bg-BG"/>
        </w:rPr>
      </w:pPr>
    </w:p>
    <w:p w14:paraId="670DF445" w14:textId="77777777" w:rsidR="00D43EFE" w:rsidRPr="00285774" w:rsidRDefault="00D43EFE" w:rsidP="00D43EFE">
      <w:pPr>
        <w:numPr>
          <w:ilvl w:val="0"/>
          <w:numId w:val="2"/>
        </w:numPr>
        <w:suppressAutoHyphens/>
        <w:ind w:left="1276" w:right="238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</w:rPr>
        <w:t>Валутен</w:t>
      </w:r>
      <w:proofErr w:type="spellEnd"/>
      <w:r w:rsidRPr="002857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</w:rPr>
        <w:t>риск</w:t>
      </w:r>
      <w:proofErr w:type="spellEnd"/>
    </w:p>
    <w:p w14:paraId="1D60E8D7" w14:textId="77777777" w:rsidR="00D43EFE" w:rsidRPr="00285774" w:rsidRDefault="00D43EFE" w:rsidP="00D43EFE">
      <w:pPr>
        <w:suppressAutoHyphens/>
        <w:ind w:left="120" w:right="238"/>
        <w:jc w:val="both"/>
        <w:rPr>
          <w:rFonts w:ascii="Calibri" w:hAnsi="Calibri" w:cs="Calibri"/>
          <w:bCs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Валутният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риск за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е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минимизиран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защото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всички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негови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сделки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са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деноминирани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bCs/>
          <w:sz w:val="22"/>
          <w:szCs w:val="22"/>
          <w:lang w:val="ru-RU"/>
        </w:rPr>
        <w:t>български</w:t>
      </w:r>
      <w:proofErr w:type="spellEnd"/>
      <w:r w:rsidRPr="00285774">
        <w:rPr>
          <w:rFonts w:ascii="Calibri" w:hAnsi="Calibri" w:cs="Calibri"/>
          <w:bCs/>
          <w:sz w:val="22"/>
          <w:szCs w:val="22"/>
          <w:lang w:val="ru-RU"/>
        </w:rPr>
        <w:t xml:space="preserve"> лева.</w:t>
      </w:r>
    </w:p>
    <w:p w14:paraId="29D1378E" w14:textId="77777777" w:rsidR="002519DE" w:rsidRPr="00285774" w:rsidRDefault="002519DE" w:rsidP="00D43EFE">
      <w:pPr>
        <w:suppressAutoHyphens/>
        <w:ind w:left="120" w:right="238"/>
        <w:jc w:val="both"/>
        <w:rPr>
          <w:rFonts w:ascii="Calibri" w:hAnsi="Calibri" w:cs="Calibri"/>
          <w:bCs/>
          <w:sz w:val="22"/>
          <w:szCs w:val="22"/>
          <w:lang w:val="bg-BG"/>
        </w:rPr>
      </w:pPr>
    </w:p>
    <w:p w14:paraId="5A4D05F2" w14:textId="77777777" w:rsidR="00D43EFE" w:rsidRPr="00285774" w:rsidRDefault="00D43EFE" w:rsidP="00D43EFE">
      <w:pPr>
        <w:numPr>
          <w:ilvl w:val="0"/>
          <w:numId w:val="1"/>
        </w:numPr>
        <w:tabs>
          <w:tab w:val="clear" w:pos="66"/>
          <w:tab w:val="num" w:pos="0"/>
          <w:tab w:val="num" w:pos="839"/>
        </w:tabs>
        <w:suppressAutoHyphens/>
        <w:ind w:left="1276" w:right="238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</w:rPr>
        <w:t>Ценови</w:t>
      </w:r>
      <w:proofErr w:type="spellEnd"/>
      <w:r w:rsidRPr="002857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</w:rPr>
        <w:t>риск</w:t>
      </w:r>
      <w:proofErr w:type="spellEnd"/>
    </w:p>
    <w:p w14:paraId="57E9FA11" w14:textId="77777777" w:rsidR="00D43EFE" w:rsidRPr="00285774" w:rsidRDefault="00D43EFE" w:rsidP="00D43E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e изложено на риск от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промени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пазарните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цени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инвестиционни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имоти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на цените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самите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наеми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.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периодично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прави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преглед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пазарните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цени, по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които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предлага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услугите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си,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спрямо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общите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ценови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равнища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страната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за да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може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необходимост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да се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извършат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плавно и постепенно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корекции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тези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цени. 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отдаването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gramStart"/>
      <w:r w:rsidRPr="00285774">
        <w:rPr>
          <w:rFonts w:ascii="Calibri" w:hAnsi="Calibri" w:cs="Calibri"/>
          <w:sz w:val="22"/>
          <w:szCs w:val="22"/>
          <w:lang w:val="ru-RU"/>
        </w:rPr>
        <w:t>под аренда</w:t>
      </w:r>
      <w:proofErr w:type="gramEnd"/>
      <w:r w:rsidRPr="00285774">
        <w:rPr>
          <w:rFonts w:ascii="Calibri" w:hAnsi="Calibri" w:cs="Calibri"/>
          <w:sz w:val="22"/>
          <w:szCs w:val="22"/>
          <w:lang w:val="ru-RU"/>
        </w:rPr>
        <w:t xml:space="preserve"> и наем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имотите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се стреми да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сключва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както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краткосрочни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договори за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наеми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земеделските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земи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така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дългосрочни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договори за аренда.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Клиентите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проучват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внимателно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гледна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точка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надеждност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събиране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вземанията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. </w:t>
      </w:r>
    </w:p>
    <w:p w14:paraId="462B4042" w14:textId="77777777" w:rsidR="00D43EFE" w:rsidRPr="00285774" w:rsidRDefault="00D43EFE" w:rsidP="00D43E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Рискове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инвестирането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недвижими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имоти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-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неблагоприятни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изменения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пазарните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цени.</w:t>
      </w:r>
    </w:p>
    <w:p w14:paraId="044CF4E7" w14:textId="77777777" w:rsidR="00D43EFE" w:rsidRPr="00285774" w:rsidRDefault="00D43EFE" w:rsidP="00D43EFE">
      <w:pPr>
        <w:ind w:left="720"/>
        <w:jc w:val="both"/>
        <w:rPr>
          <w:rFonts w:ascii="Calibri" w:hAnsi="Calibri" w:cs="Calibri"/>
          <w:sz w:val="22"/>
          <w:szCs w:val="22"/>
          <w:lang w:val="ru-RU"/>
        </w:rPr>
      </w:pPr>
    </w:p>
    <w:p w14:paraId="175BFBFD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Намаление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цените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земеделските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земи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или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придобитите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недвижими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имоти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би се отразило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отрицателно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върху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нетната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стойност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активите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. В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такъв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случай 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възможно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ако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акциите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търгуват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близо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до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нетната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стойност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една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акция,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цената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акциите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спадне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инвеститорите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претърпят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капиталова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загуба</w:t>
      </w:r>
      <w:proofErr w:type="spellEnd"/>
    </w:p>
    <w:p w14:paraId="3EDEE9FC" w14:textId="77777777" w:rsidR="00D43EFE" w:rsidRPr="00285774" w:rsidRDefault="00D43EFE" w:rsidP="00D43EFE">
      <w:pPr>
        <w:numPr>
          <w:ilvl w:val="0"/>
          <w:numId w:val="1"/>
        </w:numPr>
        <w:tabs>
          <w:tab w:val="clear" w:pos="66"/>
          <w:tab w:val="num" w:pos="0"/>
          <w:tab w:val="num" w:pos="839"/>
        </w:tabs>
        <w:suppressAutoHyphens/>
        <w:ind w:left="1276" w:right="238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</w:rPr>
        <w:t>Кредитен</w:t>
      </w:r>
      <w:proofErr w:type="spellEnd"/>
      <w:r w:rsidRPr="002857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</w:rPr>
        <w:t>риск</w:t>
      </w:r>
      <w:proofErr w:type="spellEnd"/>
    </w:p>
    <w:p w14:paraId="08C3308F" w14:textId="77777777" w:rsidR="00D43EFE" w:rsidRPr="00285774" w:rsidRDefault="00D43EFE" w:rsidP="00D43EFE">
      <w:pPr>
        <w:tabs>
          <w:tab w:val="num" w:pos="0"/>
        </w:tabs>
        <w:suppressAutoHyphens/>
        <w:ind w:left="120" w:right="340" w:firstLine="709"/>
        <w:jc w:val="both"/>
        <w:rPr>
          <w:rFonts w:ascii="Calibri" w:hAnsi="Calibri" w:cs="Calibri"/>
          <w:sz w:val="22"/>
          <w:szCs w:val="22"/>
          <w:lang w:val="ru-RU"/>
        </w:rPr>
      </w:pPr>
      <w:r w:rsidRPr="00285774">
        <w:rPr>
          <w:rFonts w:ascii="Calibri" w:hAnsi="Calibri" w:cs="Calibri"/>
          <w:sz w:val="22"/>
          <w:szCs w:val="22"/>
          <w:lang w:val="ru-RU"/>
        </w:rPr>
        <w:t xml:space="preserve">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осъществяване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своята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дейност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е изложено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кредитен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риск,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който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свързан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 риска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някой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контрагентите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му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да не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бъде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състояние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изпълни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изцяло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в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обичайно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предвидените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срокове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задълженията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към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него.</w:t>
      </w:r>
    </w:p>
    <w:p w14:paraId="432A806B" w14:textId="77777777" w:rsidR="00D43EFE" w:rsidRPr="00285774" w:rsidRDefault="00D43EFE" w:rsidP="00D43EFE">
      <w:pPr>
        <w:tabs>
          <w:tab w:val="num" w:pos="0"/>
        </w:tabs>
        <w:suppressAutoHyphens/>
        <w:ind w:left="120" w:right="340" w:firstLine="709"/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Финансовите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активи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концентрирани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две групи: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парични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средства (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депозити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)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вземания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клиенти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>.</w:t>
      </w:r>
    </w:p>
    <w:p w14:paraId="508D51A0" w14:textId="77777777" w:rsidR="00D43EFE" w:rsidRPr="00285774" w:rsidRDefault="00D43EFE" w:rsidP="00D43EFE">
      <w:pPr>
        <w:tabs>
          <w:tab w:val="num" w:pos="0"/>
        </w:tabs>
        <w:suppressAutoHyphens/>
        <w:ind w:left="120" w:right="340" w:firstLine="709"/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Паричните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средства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се </w:t>
      </w:r>
      <w:proofErr w:type="spellStart"/>
      <w:proofErr w:type="gramStart"/>
      <w:r w:rsidRPr="00285774">
        <w:rPr>
          <w:rFonts w:ascii="Calibri" w:hAnsi="Calibri" w:cs="Calibri"/>
          <w:sz w:val="22"/>
          <w:szCs w:val="22"/>
          <w:lang w:val="ru-RU"/>
        </w:rPr>
        <w:t>предоставени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 в</w:t>
      </w:r>
      <w:proofErr w:type="gramEnd"/>
      <w:r w:rsidRPr="00285774">
        <w:rPr>
          <w:rFonts w:ascii="Calibri" w:hAnsi="Calibri" w:cs="Calibri"/>
          <w:sz w:val="22"/>
          <w:szCs w:val="22"/>
          <w:lang w:val="ru-RU"/>
        </w:rPr>
        <w:t xml:space="preserve"> банка, с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висока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репутация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стабилна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ликвидност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значително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ограничава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риска.</w:t>
      </w:r>
    </w:p>
    <w:p w14:paraId="58814F46" w14:textId="77777777" w:rsidR="00D43EFE" w:rsidRPr="00285774" w:rsidRDefault="00D43EFE" w:rsidP="00D43EFE">
      <w:pPr>
        <w:tabs>
          <w:tab w:val="num" w:pos="0"/>
        </w:tabs>
        <w:suppressAutoHyphens/>
        <w:ind w:left="120" w:right="340" w:firstLine="709"/>
        <w:jc w:val="both"/>
        <w:rPr>
          <w:rFonts w:ascii="Calibri" w:hAnsi="Calibri" w:cs="Calibri"/>
          <w:sz w:val="22"/>
          <w:szCs w:val="22"/>
          <w:lang w:val="ru-RU"/>
        </w:rPr>
      </w:pPr>
      <w:r w:rsidRPr="00285774">
        <w:rPr>
          <w:rFonts w:ascii="Calibri" w:hAnsi="Calibri" w:cs="Calibri"/>
          <w:sz w:val="22"/>
          <w:szCs w:val="22"/>
          <w:lang w:val="ru-RU"/>
        </w:rPr>
        <w:t xml:space="preserve">По отношение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клиентите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политиката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е да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извършва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продажбите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си 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условията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строго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лимитирани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срокове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плащане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.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Събираемостта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концентрацията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вземанията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контролират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текущо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съгласно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установената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политика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индикатори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gramStart"/>
      <w:r w:rsidRPr="00285774">
        <w:rPr>
          <w:rFonts w:ascii="Calibri" w:hAnsi="Calibri" w:cs="Calibri"/>
          <w:sz w:val="22"/>
          <w:szCs w:val="22"/>
          <w:lang w:val="ru-RU"/>
        </w:rPr>
        <w:t>за проблем</w:t>
      </w:r>
      <w:proofErr w:type="gramEnd"/>
      <w:r w:rsidRPr="00285774">
        <w:rPr>
          <w:rFonts w:ascii="Calibri" w:hAnsi="Calibri" w:cs="Calibri"/>
          <w:sz w:val="22"/>
          <w:szCs w:val="22"/>
          <w:lang w:val="ru-RU"/>
        </w:rPr>
        <w:t xml:space="preserve"> - се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прави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контакт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със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съответния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клиент за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определяне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мерки за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лимитиране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gramStart"/>
      <w:r w:rsidRPr="00285774">
        <w:rPr>
          <w:rFonts w:ascii="Calibri" w:hAnsi="Calibri" w:cs="Calibri"/>
          <w:sz w:val="22"/>
          <w:szCs w:val="22"/>
          <w:lang w:val="ru-RU"/>
        </w:rPr>
        <w:t>на риска</w:t>
      </w:r>
      <w:proofErr w:type="gram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загуби.</w:t>
      </w:r>
    </w:p>
    <w:p w14:paraId="73CB1CB3" w14:textId="77777777" w:rsidR="00D43EFE" w:rsidRPr="00285774" w:rsidRDefault="00D43EFE" w:rsidP="00D43EFE">
      <w:pPr>
        <w:suppressAutoHyphens/>
        <w:ind w:left="1276" w:right="340"/>
        <w:jc w:val="both"/>
        <w:rPr>
          <w:rFonts w:ascii="Calibri" w:hAnsi="Calibri" w:cs="Calibri"/>
          <w:sz w:val="22"/>
          <w:szCs w:val="22"/>
          <w:lang w:val="ru-RU"/>
        </w:rPr>
      </w:pPr>
    </w:p>
    <w:p w14:paraId="5218EAEC" w14:textId="77777777" w:rsidR="00D43EFE" w:rsidRPr="00285774" w:rsidRDefault="00D43EFE" w:rsidP="00D43EFE">
      <w:pPr>
        <w:numPr>
          <w:ilvl w:val="0"/>
          <w:numId w:val="1"/>
        </w:numPr>
        <w:tabs>
          <w:tab w:val="clear" w:pos="66"/>
          <w:tab w:val="num" w:pos="0"/>
          <w:tab w:val="num" w:pos="839"/>
        </w:tabs>
        <w:suppressAutoHyphens/>
        <w:ind w:left="1276" w:right="238"/>
        <w:jc w:val="both"/>
        <w:rPr>
          <w:rFonts w:ascii="Calibri" w:hAnsi="Calibri" w:cs="Calibri"/>
          <w:bCs/>
          <w:sz w:val="22"/>
          <w:szCs w:val="22"/>
          <w:lang w:val="bg-BG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</w:rPr>
        <w:t>Ликвиден</w:t>
      </w:r>
      <w:proofErr w:type="spellEnd"/>
      <w:r w:rsidRPr="002857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</w:rPr>
        <w:t>риск</w:t>
      </w:r>
      <w:proofErr w:type="spellEnd"/>
    </w:p>
    <w:p w14:paraId="20F94F28" w14:textId="77777777" w:rsidR="00D43EFE" w:rsidRPr="00285774" w:rsidRDefault="00D43EFE" w:rsidP="00D43EFE">
      <w:pPr>
        <w:ind w:firstLine="708"/>
        <w:jc w:val="both"/>
        <w:rPr>
          <w:rFonts w:ascii="Calibri" w:eastAsia="Calibri" w:hAnsi="Calibri" w:cs="Calibri"/>
          <w:sz w:val="22"/>
          <w:szCs w:val="22"/>
          <w:lang w:val="ru-RU"/>
        </w:rPr>
      </w:pP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Ликвидният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риск се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изразява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негативната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ситуация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да не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бъде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състояние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да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посрещне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безусловно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всички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свои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задължения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съгласно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техния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падеж. То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провежда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консервативна политика по управление на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ликвидността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, чрез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която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постоянно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поддържа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оптимален ликвиден запас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парични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средства, добра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способност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финансиране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стопанската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си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дейност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.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управлява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ликвидността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активите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пасивите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си чрез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текущ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анализ и наблюдение на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структурата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динамиката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измененията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им, и чрез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прогнозиране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бъдещите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входящи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изходящи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парични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потоци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факторите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за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негативни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ефекти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върху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тях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175E68D5" w14:textId="77777777" w:rsidR="00D43EFE" w:rsidRPr="00285774" w:rsidRDefault="00D43EFE" w:rsidP="00D43EFE">
      <w:pPr>
        <w:tabs>
          <w:tab w:val="left" w:pos="1134"/>
        </w:tabs>
        <w:overflowPunct w:val="0"/>
        <w:autoSpaceDE w:val="0"/>
        <w:autoSpaceDN w:val="0"/>
        <w:adjustRightInd w:val="0"/>
        <w:spacing w:line="220" w:lineRule="exact"/>
        <w:ind w:hanging="1"/>
        <w:jc w:val="both"/>
        <w:rPr>
          <w:rFonts w:ascii="Calibri" w:hAnsi="Calibri" w:cs="Calibri"/>
          <w:i/>
          <w:sz w:val="22"/>
          <w:szCs w:val="22"/>
          <w:lang w:val="bg-BG"/>
        </w:rPr>
      </w:pPr>
    </w:p>
    <w:p w14:paraId="1BE868CE" w14:textId="44FEF661" w:rsidR="00D43EFE" w:rsidRDefault="00D43EFE" w:rsidP="00D43EFE">
      <w:pPr>
        <w:tabs>
          <w:tab w:val="left" w:pos="1134"/>
        </w:tabs>
        <w:overflowPunct w:val="0"/>
        <w:autoSpaceDE w:val="0"/>
        <w:autoSpaceDN w:val="0"/>
        <w:adjustRightInd w:val="0"/>
        <w:ind w:hanging="1"/>
        <w:jc w:val="both"/>
        <w:rPr>
          <w:rFonts w:ascii="Calibri" w:hAnsi="Calibri" w:cs="Calibri"/>
          <w:sz w:val="22"/>
          <w:szCs w:val="22"/>
          <w:lang w:val="bg-BG"/>
        </w:rPr>
      </w:pPr>
      <w:r w:rsidRPr="00285774">
        <w:rPr>
          <w:rFonts w:ascii="Calibri" w:hAnsi="Calibri" w:cs="Calibri"/>
          <w:sz w:val="22"/>
          <w:szCs w:val="22"/>
          <w:lang w:val="bg-BG"/>
        </w:rPr>
        <w:lastRenderedPageBreak/>
        <w:t>В таблицата по-долу е представен анализ на активите и пасивите на „Риъл Булленд“ АД по матуритетни периоди, на база на остатъчния срок от датата на баланса до датата на реализиране на актива или пасива:</w:t>
      </w:r>
    </w:p>
    <w:p w14:paraId="043EB1DF" w14:textId="3D1DA716" w:rsidR="00484D8F" w:rsidRDefault="00484D8F" w:rsidP="00D43EFE">
      <w:pPr>
        <w:tabs>
          <w:tab w:val="left" w:pos="1134"/>
        </w:tabs>
        <w:overflowPunct w:val="0"/>
        <w:autoSpaceDE w:val="0"/>
        <w:autoSpaceDN w:val="0"/>
        <w:adjustRightInd w:val="0"/>
        <w:ind w:hanging="1"/>
        <w:jc w:val="both"/>
        <w:rPr>
          <w:rFonts w:ascii="Calibri" w:hAnsi="Calibri" w:cs="Calibri"/>
          <w:sz w:val="22"/>
          <w:szCs w:val="22"/>
          <w:lang w:val="bg-BG"/>
        </w:rPr>
      </w:pPr>
    </w:p>
    <w:p w14:paraId="6B33E41C" w14:textId="77777777" w:rsidR="00A74C80" w:rsidRDefault="00A74C80" w:rsidP="00D43EFE">
      <w:pPr>
        <w:tabs>
          <w:tab w:val="left" w:pos="1134"/>
        </w:tabs>
        <w:overflowPunct w:val="0"/>
        <w:autoSpaceDE w:val="0"/>
        <w:autoSpaceDN w:val="0"/>
        <w:adjustRightInd w:val="0"/>
        <w:ind w:hanging="1"/>
        <w:jc w:val="both"/>
        <w:rPr>
          <w:rFonts w:ascii="Calibri" w:hAnsi="Calibri" w:cs="Calibri"/>
          <w:sz w:val="22"/>
          <w:szCs w:val="22"/>
          <w:lang w:val="bg-BG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441"/>
        <w:gridCol w:w="1165"/>
        <w:gridCol w:w="299"/>
        <w:gridCol w:w="1352"/>
        <w:gridCol w:w="1176"/>
      </w:tblGrid>
      <w:tr w:rsidR="008909D8" w:rsidRPr="008909D8" w14:paraId="5D5BA402" w14:textId="77777777" w:rsidTr="00730ACF">
        <w:trPr>
          <w:gridBefore w:val="1"/>
          <w:wBefore w:w="2006" w:type="pct"/>
          <w:trHeight w:val="181"/>
        </w:trPr>
        <w:tc>
          <w:tcPr>
            <w:tcW w:w="143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0E7420F2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 w:type="page"/>
              <w:t>Текущи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20A9AD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 </w:t>
            </w:r>
          </w:p>
        </w:tc>
        <w:tc>
          <w:tcPr>
            <w:tcW w:w="139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381A2073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Нетекущи</w:t>
            </w:r>
          </w:p>
        </w:tc>
      </w:tr>
      <w:tr w:rsidR="008909D8" w:rsidRPr="008909D8" w14:paraId="0520F850" w14:textId="77777777" w:rsidTr="00730ACF">
        <w:trPr>
          <w:trHeight w:val="181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FAFBE77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31 март 2026 г.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2A97A0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 6 месеца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079809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Между 6 и 12 месеца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6072F9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27B54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От 1 до 5 години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61C075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Над 5 години</w:t>
            </w:r>
          </w:p>
        </w:tc>
      </w:tr>
      <w:tr w:rsidR="008909D8" w:rsidRPr="008909D8" w14:paraId="768E5015" w14:textId="77777777" w:rsidTr="00730ACF">
        <w:trPr>
          <w:trHeight w:val="181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E2C431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8D6F4F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хил. евро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F3E592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хил. евро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5BACA89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9F8D8F3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хил. евро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A7E879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хил. евро</w:t>
            </w:r>
          </w:p>
        </w:tc>
      </w:tr>
      <w:tr w:rsidR="008909D8" w:rsidRPr="008909D8" w14:paraId="335EFE58" w14:textId="77777777" w:rsidTr="00730ACF">
        <w:trPr>
          <w:trHeight w:val="20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A32592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E53A4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9F90F9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D7888B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9E05ED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562F3E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8909D8" w:rsidRPr="008909D8" w14:paraId="64BF406C" w14:textId="77777777" w:rsidTr="00730ACF">
        <w:trPr>
          <w:trHeight w:val="181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503EDF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Лихви и заеми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88E719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A168E1C" w14:textId="240CBF73" w:rsidR="008909D8" w:rsidRPr="008909D8" w:rsidRDefault="00825111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56B4D0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639E4D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1 023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BCCADD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-</w:t>
            </w:r>
          </w:p>
        </w:tc>
      </w:tr>
      <w:tr w:rsidR="008909D8" w:rsidRPr="008909D8" w14:paraId="4871C168" w14:textId="77777777" w:rsidTr="00730ACF">
        <w:trPr>
          <w:trHeight w:val="181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175BA9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53240F80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909D8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297388AE" w14:textId="36180E93" w:rsidR="008909D8" w:rsidRPr="008909D8" w:rsidRDefault="00825111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4F3342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096E3FB9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1 023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658F606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-</w:t>
            </w:r>
          </w:p>
        </w:tc>
      </w:tr>
    </w:tbl>
    <w:p w14:paraId="03A1E31A" w14:textId="4FC4C49D" w:rsidR="008909D8" w:rsidRDefault="008909D8" w:rsidP="00D43EFE">
      <w:pPr>
        <w:tabs>
          <w:tab w:val="left" w:pos="1134"/>
        </w:tabs>
        <w:overflowPunct w:val="0"/>
        <w:autoSpaceDE w:val="0"/>
        <w:autoSpaceDN w:val="0"/>
        <w:adjustRightInd w:val="0"/>
        <w:ind w:hanging="1"/>
        <w:jc w:val="both"/>
        <w:rPr>
          <w:rFonts w:ascii="Calibri" w:hAnsi="Calibri" w:cs="Calibri"/>
          <w:sz w:val="22"/>
          <w:szCs w:val="22"/>
          <w:lang w:val="bg-BG"/>
        </w:rPr>
      </w:pPr>
    </w:p>
    <w:p w14:paraId="4AB7940D" w14:textId="2B0D3C31" w:rsidR="008909D8" w:rsidRDefault="008909D8" w:rsidP="00D43EFE">
      <w:pPr>
        <w:tabs>
          <w:tab w:val="left" w:pos="1134"/>
        </w:tabs>
        <w:overflowPunct w:val="0"/>
        <w:autoSpaceDE w:val="0"/>
        <w:autoSpaceDN w:val="0"/>
        <w:adjustRightInd w:val="0"/>
        <w:ind w:hanging="1"/>
        <w:jc w:val="both"/>
        <w:rPr>
          <w:rFonts w:ascii="Calibri" w:hAnsi="Calibri" w:cs="Calibri"/>
          <w:sz w:val="22"/>
          <w:szCs w:val="22"/>
          <w:lang w:val="bg-BG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441"/>
        <w:gridCol w:w="1165"/>
        <w:gridCol w:w="299"/>
        <w:gridCol w:w="1352"/>
        <w:gridCol w:w="1176"/>
      </w:tblGrid>
      <w:tr w:rsidR="008909D8" w:rsidRPr="008909D8" w14:paraId="5BF26131" w14:textId="77777777" w:rsidTr="00730ACF">
        <w:trPr>
          <w:gridBefore w:val="1"/>
          <w:wBefore w:w="2006" w:type="pct"/>
          <w:trHeight w:val="181"/>
        </w:trPr>
        <w:tc>
          <w:tcPr>
            <w:tcW w:w="143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0616E40E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 w:type="page"/>
              <w:t>Текущи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7378F41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 </w:t>
            </w:r>
          </w:p>
        </w:tc>
        <w:tc>
          <w:tcPr>
            <w:tcW w:w="139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697F83DB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Нетекущи</w:t>
            </w:r>
          </w:p>
        </w:tc>
      </w:tr>
      <w:tr w:rsidR="008909D8" w:rsidRPr="008909D8" w14:paraId="35C4095F" w14:textId="77777777" w:rsidTr="00730ACF">
        <w:trPr>
          <w:trHeight w:val="181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877F92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31 декември 2025 г.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35FE05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 6 месеца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5EFAEE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Между 6 и 12 месеца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CD52B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EA9FDB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От 1 до 5 години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034D9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Над 5 години</w:t>
            </w:r>
          </w:p>
        </w:tc>
      </w:tr>
      <w:tr w:rsidR="008909D8" w:rsidRPr="008909D8" w14:paraId="2DDE1746" w14:textId="77777777" w:rsidTr="00730ACF">
        <w:trPr>
          <w:trHeight w:val="181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CA85CDA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1FEDAC8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хил. евро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91BFE5A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хил. евро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F9986A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58EC8D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хил. евро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77D97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хил. евро</w:t>
            </w:r>
          </w:p>
        </w:tc>
      </w:tr>
      <w:tr w:rsidR="008909D8" w:rsidRPr="008909D8" w14:paraId="7609C49C" w14:textId="77777777" w:rsidTr="00730ACF">
        <w:trPr>
          <w:trHeight w:val="20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C2FB3FE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D18EFC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B2F98A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1BD39D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91F58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D84ADBB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8909D8" w:rsidRPr="008909D8" w14:paraId="7F5B5111" w14:textId="77777777" w:rsidTr="00730ACF">
        <w:trPr>
          <w:trHeight w:val="181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C8812A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Лихви и заеми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10290E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-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9040794" w14:textId="19515D3F" w:rsidR="008909D8" w:rsidRPr="008909D8" w:rsidRDefault="00825111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A39E99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08014A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1 023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264614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sz w:val="22"/>
                <w:szCs w:val="22"/>
                <w:lang w:val="bg-BG"/>
              </w:rPr>
              <w:t>-</w:t>
            </w:r>
          </w:p>
        </w:tc>
      </w:tr>
      <w:tr w:rsidR="008909D8" w:rsidRPr="008909D8" w14:paraId="260A48AC" w14:textId="77777777" w:rsidTr="00730ACF">
        <w:trPr>
          <w:trHeight w:val="181"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41F747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16B8539C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909D8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386C420B" w14:textId="10A9FEBA" w:rsidR="008909D8" w:rsidRPr="008909D8" w:rsidRDefault="00825111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2E6695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0B2219A8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1 023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363EE5FF" w14:textId="77777777" w:rsidR="008909D8" w:rsidRPr="008909D8" w:rsidRDefault="008909D8" w:rsidP="008909D8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hanging="1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09D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-</w:t>
            </w:r>
          </w:p>
        </w:tc>
      </w:tr>
    </w:tbl>
    <w:p w14:paraId="35CAF0D4" w14:textId="1C46D469" w:rsidR="008909D8" w:rsidRDefault="008909D8" w:rsidP="00D43EFE">
      <w:pPr>
        <w:tabs>
          <w:tab w:val="left" w:pos="1134"/>
        </w:tabs>
        <w:overflowPunct w:val="0"/>
        <w:autoSpaceDE w:val="0"/>
        <w:autoSpaceDN w:val="0"/>
        <w:adjustRightInd w:val="0"/>
        <w:ind w:hanging="1"/>
        <w:jc w:val="both"/>
        <w:rPr>
          <w:rFonts w:ascii="Calibri" w:hAnsi="Calibri" w:cs="Calibri"/>
          <w:sz w:val="22"/>
          <w:szCs w:val="22"/>
          <w:lang w:val="bg-BG"/>
        </w:rPr>
      </w:pPr>
    </w:p>
    <w:p w14:paraId="088AB43B" w14:textId="2FEB6163" w:rsidR="008909D8" w:rsidRDefault="008909D8" w:rsidP="00D43EFE">
      <w:pPr>
        <w:tabs>
          <w:tab w:val="left" w:pos="1134"/>
        </w:tabs>
        <w:overflowPunct w:val="0"/>
        <w:autoSpaceDE w:val="0"/>
        <w:autoSpaceDN w:val="0"/>
        <w:adjustRightInd w:val="0"/>
        <w:ind w:hanging="1"/>
        <w:jc w:val="both"/>
        <w:rPr>
          <w:rFonts w:ascii="Calibri" w:hAnsi="Calibri" w:cs="Calibri"/>
          <w:sz w:val="22"/>
          <w:szCs w:val="22"/>
          <w:lang w:val="bg-BG"/>
        </w:rPr>
      </w:pPr>
    </w:p>
    <w:p w14:paraId="60671B4D" w14:textId="77777777" w:rsidR="00D43EFE" w:rsidRPr="00285774" w:rsidRDefault="00D43EFE" w:rsidP="00D43EFE">
      <w:pPr>
        <w:numPr>
          <w:ilvl w:val="0"/>
          <w:numId w:val="1"/>
        </w:numPr>
        <w:tabs>
          <w:tab w:val="clear" w:pos="66"/>
          <w:tab w:val="num" w:pos="0"/>
          <w:tab w:val="num" w:pos="839"/>
        </w:tabs>
        <w:suppressAutoHyphens/>
        <w:ind w:left="426" w:right="198" w:firstLine="709"/>
        <w:jc w:val="both"/>
        <w:rPr>
          <w:rFonts w:ascii="Calibri" w:hAnsi="Calibri" w:cs="Calibri"/>
          <w:bCs/>
          <w:sz w:val="22"/>
          <w:szCs w:val="22"/>
          <w:lang w:val="bg-BG"/>
        </w:rPr>
      </w:pPr>
      <w:proofErr w:type="spellStart"/>
      <w:r w:rsidRPr="00285774">
        <w:rPr>
          <w:rFonts w:ascii="Calibri" w:hAnsi="Calibri" w:cs="Calibri"/>
          <w:bCs/>
          <w:sz w:val="22"/>
          <w:szCs w:val="22"/>
        </w:rPr>
        <w:t>Риск</w:t>
      </w:r>
      <w:proofErr w:type="spellEnd"/>
      <w:r w:rsidRPr="002857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</w:rPr>
        <w:t>на</w:t>
      </w:r>
      <w:proofErr w:type="spellEnd"/>
      <w:r w:rsidRPr="002857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</w:rPr>
        <w:t>лихвоносните</w:t>
      </w:r>
      <w:proofErr w:type="spellEnd"/>
      <w:r w:rsidRPr="002857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</w:rPr>
        <w:t>парични</w:t>
      </w:r>
      <w:proofErr w:type="spellEnd"/>
      <w:r w:rsidRPr="002857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85774">
        <w:rPr>
          <w:rFonts w:ascii="Calibri" w:hAnsi="Calibri" w:cs="Calibri"/>
          <w:bCs/>
          <w:sz w:val="22"/>
          <w:szCs w:val="22"/>
        </w:rPr>
        <w:t>потоци</w:t>
      </w:r>
      <w:proofErr w:type="spellEnd"/>
    </w:p>
    <w:p w14:paraId="6E8F37FB" w14:textId="77777777" w:rsidR="00D43EFE" w:rsidRPr="00285774" w:rsidRDefault="00D43EFE" w:rsidP="00D43EFE">
      <w:pPr>
        <w:ind w:left="142" w:firstLine="567"/>
        <w:jc w:val="both"/>
        <w:rPr>
          <w:rFonts w:ascii="Calibri" w:eastAsia="Calibri" w:hAnsi="Calibri" w:cs="Calibri"/>
          <w:sz w:val="22"/>
          <w:szCs w:val="22"/>
          <w:lang w:val="ru-RU"/>
        </w:rPr>
      </w:pPr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Като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цяло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няма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значителна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gramStart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част 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лихвоносни</w:t>
      </w:r>
      <w:proofErr w:type="spellEnd"/>
      <w:proofErr w:type="gram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активи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, с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изключение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предоставени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инвестиции в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краткосрочни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банкови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депозити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.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Затова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приходите и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оперативните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парични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потоци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са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голяма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степен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независими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промените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пазарните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лихвени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равнища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.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Паричните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средства (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депозити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в банки)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са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с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фиксиран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лихвен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процент,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който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се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запазва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непроменен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до падежа на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съответния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депозит.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Доколкото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депозитите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са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краткосрочни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рискът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негативни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промени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лихвените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равнища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 xml:space="preserve"> е </w:t>
      </w:r>
      <w:proofErr w:type="spellStart"/>
      <w:r w:rsidRPr="00285774">
        <w:rPr>
          <w:rFonts w:ascii="Calibri" w:eastAsia="Calibri" w:hAnsi="Calibri" w:cs="Calibri"/>
          <w:sz w:val="22"/>
          <w:szCs w:val="22"/>
          <w:lang w:val="ru-RU"/>
        </w:rPr>
        <w:t>лимитиран</w:t>
      </w:r>
      <w:proofErr w:type="spellEnd"/>
      <w:r w:rsidRPr="00285774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07637E51" w14:textId="77777777" w:rsidR="00D43EFE" w:rsidRPr="00285774" w:rsidRDefault="00D43EFE" w:rsidP="00D43EFE">
      <w:pPr>
        <w:rPr>
          <w:rFonts w:ascii="Calibri" w:hAnsi="Calibri" w:cs="Calibri"/>
          <w:sz w:val="22"/>
          <w:szCs w:val="22"/>
          <w:lang w:val="bg-BG" w:eastAsia="ar-SA"/>
        </w:rPr>
      </w:pPr>
    </w:p>
    <w:p w14:paraId="0EF18CB8" w14:textId="384A8A09" w:rsidR="00D43EFE" w:rsidRPr="00285774" w:rsidRDefault="004B0F2A" w:rsidP="00D43EFE">
      <w:pPr>
        <w:keepNext/>
        <w:jc w:val="both"/>
        <w:outlineLvl w:val="0"/>
        <w:rPr>
          <w:rFonts w:ascii="Calibri" w:hAnsi="Calibri" w:cs="Calibri"/>
          <w:b/>
          <w:bCs/>
          <w:sz w:val="22"/>
          <w:szCs w:val="22"/>
          <w:lang w:val="bg-BG"/>
        </w:rPr>
      </w:pPr>
      <w:r w:rsidRPr="00285774">
        <w:rPr>
          <w:rFonts w:ascii="Calibri" w:hAnsi="Calibri" w:cs="Calibri"/>
          <w:b/>
          <w:bCs/>
          <w:sz w:val="22"/>
          <w:szCs w:val="22"/>
          <w:lang w:val="bg-BG"/>
        </w:rPr>
        <w:t>6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bg-BG"/>
        </w:rPr>
        <w:t xml:space="preserve">. Важни събития, настъпили след изготвяне на доклада за дейността към </w:t>
      </w:r>
      <w:r w:rsidR="006543B5" w:rsidRPr="00285774">
        <w:rPr>
          <w:rFonts w:ascii="Calibri" w:hAnsi="Calibri" w:cs="Calibri"/>
          <w:b/>
          <w:sz w:val="22"/>
          <w:szCs w:val="22"/>
          <w:lang w:val="bg-BG"/>
        </w:rPr>
        <w:t>3</w:t>
      </w:r>
      <w:r w:rsidR="008B77E1">
        <w:rPr>
          <w:rFonts w:ascii="Calibri" w:hAnsi="Calibri" w:cs="Calibri"/>
          <w:b/>
          <w:sz w:val="22"/>
          <w:szCs w:val="22"/>
          <w:lang w:val="bg-BG"/>
        </w:rPr>
        <w:t>1</w:t>
      </w:r>
      <w:r w:rsidR="006543B5" w:rsidRPr="00285774">
        <w:rPr>
          <w:rFonts w:ascii="Calibri" w:hAnsi="Calibri" w:cs="Calibri"/>
          <w:b/>
          <w:sz w:val="22"/>
          <w:szCs w:val="22"/>
          <w:lang w:val="bg-BG"/>
        </w:rPr>
        <w:t>.</w:t>
      </w:r>
      <w:r w:rsidR="00971017" w:rsidRPr="00D37BC0">
        <w:rPr>
          <w:rFonts w:ascii="Calibri" w:hAnsi="Calibri" w:cs="Calibri"/>
          <w:b/>
          <w:sz w:val="22"/>
          <w:szCs w:val="22"/>
          <w:lang w:val="ru-RU"/>
        </w:rPr>
        <w:t>03</w:t>
      </w:r>
      <w:r w:rsidR="00D43EFE" w:rsidRPr="00285774">
        <w:rPr>
          <w:rFonts w:ascii="Calibri" w:hAnsi="Calibri" w:cs="Calibri"/>
          <w:b/>
          <w:sz w:val="22"/>
          <w:szCs w:val="22"/>
          <w:lang w:val="bg-BG"/>
        </w:rPr>
        <w:t>.20</w:t>
      </w:r>
      <w:r w:rsidR="008A6AB4" w:rsidRPr="00285774">
        <w:rPr>
          <w:rFonts w:ascii="Calibri" w:hAnsi="Calibri" w:cs="Calibri"/>
          <w:b/>
          <w:sz w:val="22"/>
          <w:szCs w:val="22"/>
          <w:lang w:val="bg-BG"/>
        </w:rPr>
        <w:t>2</w:t>
      </w:r>
      <w:r w:rsidR="008909D8">
        <w:rPr>
          <w:rFonts w:ascii="Calibri" w:hAnsi="Calibri" w:cs="Calibri"/>
          <w:b/>
          <w:sz w:val="22"/>
          <w:szCs w:val="22"/>
          <w:lang w:val="ru-RU"/>
        </w:rPr>
        <w:t>6</w:t>
      </w:r>
      <w:r w:rsidR="00D43EFE" w:rsidRPr="00285774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="00D43EFE" w:rsidRPr="00285774">
        <w:rPr>
          <w:rFonts w:ascii="Calibri" w:hAnsi="Calibri" w:cs="Calibri"/>
          <w:b/>
          <w:bCs/>
          <w:sz w:val="22"/>
          <w:szCs w:val="22"/>
          <w:lang w:val="bg-BG"/>
        </w:rPr>
        <w:t>г.</w:t>
      </w:r>
    </w:p>
    <w:p w14:paraId="63B03786" w14:textId="77777777" w:rsidR="00D43EFE" w:rsidRPr="00285774" w:rsidRDefault="00D43EFE" w:rsidP="00D43EFE">
      <w:pPr>
        <w:keepNext/>
        <w:jc w:val="both"/>
        <w:outlineLvl w:val="0"/>
        <w:rPr>
          <w:rFonts w:ascii="Calibri" w:hAnsi="Calibri" w:cs="Calibri"/>
          <w:b/>
          <w:bCs/>
          <w:sz w:val="22"/>
          <w:szCs w:val="22"/>
          <w:lang w:val="bg-BG"/>
        </w:rPr>
      </w:pPr>
    </w:p>
    <w:p w14:paraId="7B241D2C" w14:textId="77777777" w:rsidR="00C35935" w:rsidRPr="00C35935" w:rsidRDefault="00C35935" w:rsidP="00C35935">
      <w:pPr>
        <w:keepNext/>
        <w:spacing w:before="120" w:after="120" w:line="260" w:lineRule="atLeast"/>
        <w:outlineLvl w:val="0"/>
        <w:rPr>
          <w:rFonts w:ascii="Calibri" w:hAnsi="Calibri" w:cs="Calibri"/>
          <w:bCs/>
          <w:sz w:val="22"/>
          <w:szCs w:val="22"/>
          <w:lang w:val="bg-BG" w:eastAsia="bg-BG"/>
        </w:rPr>
      </w:pPr>
      <w:r w:rsidRPr="00C35935">
        <w:rPr>
          <w:rFonts w:ascii="Calibri" w:hAnsi="Calibri" w:cs="Calibri"/>
          <w:bCs/>
          <w:sz w:val="22"/>
          <w:szCs w:val="22"/>
          <w:lang w:val="bg-BG" w:eastAsia="bg-BG"/>
        </w:rPr>
        <w:t>Не са възникнали коригиращи събития или значителни некоригиращи събития между датата на финансовия отчет и датата на оторизирането му за издаване, с изключение на посоченото/ посочените по-долу.</w:t>
      </w:r>
    </w:p>
    <w:p w14:paraId="2A60A096" w14:textId="77777777" w:rsidR="00D43EFE" w:rsidRPr="00105EA2" w:rsidRDefault="004B0F2A" w:rsidP="00D43EFE">
      <w:pPr>
        <w:jc w:val="both"/>
        <w:rPr>
          <w:rFonts w:ascii="Calibri" w:eastAsia="Calibri" w:hAnsi="Calibri" w:cs="Calibri"/>
          <w:sz w:val="22"/>
          <w:szCs w:val="22"/>
          <w:lang w:val="ru-RU"/>
        </w:rPr>
      </w:pPr>
      <w:r w:rsidRPr="00AC2BDC">
        <w:rPr>
          <w:rFonts w:ascii="Calibri" w:eastAsia="Calibri" w:hAnsi="Calibri" w:cs="Calibri"/>
          <w:b/>
          <w:sz w:val="22"/>
          <w:szCs w:val="22"/>
          <w:lang w:val="ru-RU"/>
        </w:rPr>
        <w:t>7</w:t>
      </w:r>
      <w:r w:rsidR="00D43EFE" w:rsidRPr="00AC2BDC">
        <w:rPr>
          <w:rFonts w:ascii="Calibri" w:eastAsia="Calibri" w:hAnsi="Calibri" w:cs="Calibri"/>
          <w:b/>
          <w:sz w:val="22"/>
          <w:szCs w:val="22"/>
          <w:lang w:val="ru-RU"/>
        </w:rPr>
        <w:t>.</w:t>
      </w:r>
      <w:r w:rsidR="00D43EFE" w:rsidRPr="00105EA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spellStart"/>
      <w:r w:rsidR="00D43EFE" w:rsidRPr="00AC2BDC">
        <w:rPr>
          <w:rFonts w:ascii="Calibri" w:eastAsia="Calibri" w:hAnsi="Calibri" w:cs="Calibri"/>
          <w:b/>
          <w:sz w:val="22"/>
          <w:szCs w:val="22"/>
          <w:lang w:val="ru-RU"/>
        </w:rPr>
        <w:t>Вероятното</w:t>
      </w:r>
      <w:proofErr w:type="spellEnd"/>
      <w:r w:rsidR="00D43EFE" w:rsidRPr="00AC2BDC">
        <w:rPr>
          <w:rFonts w:ascii="Calibri" w:eastAsia="Calibri" w:hAnsi="Calibri" w:cs="Calibri"/>
          <w:b/>
          <w:sz w:val="22"/>
          <w:szCs w:val="22"/>
          <w:lang w:val="ru-RU"/>
        </w:rPr>
        <w:t xml:space="preserve"> </w:t>
      </w:r>
      <w:proofErr w:type="spellStart"/>
      <w:r w:rsidR="00D43EFE" w:rsidRPr="00AC2BDC">
        <w:rPr>
          <w:rFonts w:ascii="Calibri" w:eastAsia="Calibri" w:hAnsi="Calibri" w:cs="Calibri"/>
          <w:b/>
          <w:sz w:val="22"/>
          <w:szCs w:val="22"/>
          <w:lang w:val="ru-RU"/>
        </w:rPr>
        <w:t>бъдещо</w:t>
      </w:r>
      <w:proofErr w:type="spellEnd"/>
      <w:r w:rsidR="00D43EFE" w:rsidRPr="00AC2BDC">
        <w:rPr>
          <w:rFonts w:ascii="Calibri" w:eastAsia="Calibri" w:hAnsi="Calibri" w:cs="Calibri"/>
          <w:b/>
          <w:sz w:val="22"/>
          <w:szCs w:val="22"/>
          <w:lang w:val="ru-RU"/>
        </w:rPr>
        <w:t xml:space="preserve"> развитие на </w:t>
      </w:r>
      <w:proofErr w:type="spellStart"/>
      <w:r w:rsidR="00D43EFE" w:rsidRPr="00AC2BDC">
        <w:rPr>
          <w:rFonts w:ascii="Calibri" w:eastAsia="Calibri" w:hAnsi="Calibri" w:cs="Calibri"/>
          <w:b/>
          <w:sz w:val="22"/>
          <w:szCs w:val="22"/>
          <w:lang w:val="ru-RU"/>
        </w:rPr>
        <w:t>дружеството</w:t>
      </w:r>
      <w:proofErr w:type="spellEnd"/>
    </w:p>
    <w:p w14:paraId="57FD6711" w14:textId="77777777" w:rsidR="00D43EFE" w:rsidRPr="00285774" w:rsidRDefault="00D43EFE" w:rsidP="00D43EFE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2F67E971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54301E">
        <w:rPr>
          <w:rFonts w:ascii="Calibri" w:hAnsi="Calibri" w:cs="Calibri"/>
          <w:sz w:val="22"/>
          <w:szCs w:val="22"/>
          <w:lang w:val="ru-RU"/>
        </w:rPr>
        <w:t xml:space="preserve">При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реализацията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инвестиционните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си намерения,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ще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се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придържа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към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бизнес плана описан в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потвърдения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проспект за увеличение </w:t>
      </w:r>
      <w:proofErr w:type="gramStart"/>
      <w:r w:rsidRPr="0054301E">
        <w:rPr>
          <w:rFonts w:ascii="Calibri" w:hAnsi="Calibri" w:cs="Calibri"/>
          <w:sz w:val="22"/>
          <w:szCs w:val="22"/>
          <w:lang w:val="ru-RU"/>
        </w:rPr>
        <w:t>на капитала</w:t>
      </w:r>
      <w:proofErr w:type="gramEnd"/>
      <w:r w:rsidRPr="0054301E">
        <w:rPr>
          <w:rFonts w:ascii="Calibri" w:hAnsi="Calibri" w:cs="Calibri"/>
          <w:sz w:val="22"/>
          <w:szCs w:val="22"/>
          <w:lang w:val="ru-RU"/>
        </w:rPr>
        <w:t xml:space="preserve">.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Предвид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ниските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нива на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лихвите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по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депозитите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проучва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други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възможности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съобразени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с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описаните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gramStart"/>
      <w:r w:rsidRPr="0054301E">
        <w:rPr>
          <w:rFonts w:ascii="Calibri" w:hAnsi="Calibri" w:cs="Calibri"/>
          <w:sz w:val="22"/>
          <w:szCs w:val="22"/>
          <w:lang w:val="ru-RU"/>
        </w:rPr>
        <w:t>в проспекта</w:t>
      </w:r>
      <w:proofErr w:type="gramEnd"/>
      <w:r w:rsidRPr="0054301E">
        <w:rPr>
          <w:rFonts w:ascii="Calibri" w:hAnsi="Calibri" w:cs="Calibri"/>
          <w:sz w:val="22"/>
          <w:szCs w:val="22"/>
          <w:lang w:val="ru-RU"/>
        </w:rPr>
        <w:t xml:space="preserve"> за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инвестиране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свободните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54301E">
        <w:rPr>
          <w:rFonts w:ascii="Calibri" w:hAnsi="Calibri" w:cs="Calibri"/>
          <w:sz w:val="22"/>
          <w:szCs w:val="22"/>
          <w:lang w:val="ru-RU"/>
        </w:rPr>
        <w:t>парични</w:t>
      </w:r>
      <w:proofErr w:type="spellEnd"/>
      <w:r w:rsidRPr="0054301E">
        <w:rPr>
          <w:rFonts w:ascii="Calibri" w:hAnsi="Calibri" w:cs="Calibri"/>
          <w:sz w:val="22"/>
          <w:szCs w:val="22"/>
          <w:lang w:val="ru-RU"/>
        </w:rPr>
        <w:t xml:space="preserve"> средства.</w:t>
      </w:r>
    </w:p>
    <w:p w14:paraId="40736DF7" w14:textId="77777777" w:rsidR="00E14426" w:rsidRPr="00285774" w:rsidRDefault="00E14426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</w:p>
    <w:p w14:paraId="274E755F" w14:textId="77777777" w:rsidR="00D43EFE" w:rsidRPr="00285774" w:rsidRDefault="004B0F2A" w:rsidP="00D43EFE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8</w:t>
      </w:r>
      <w:r w:rsidR="00D43EFE" w:rsidRPr="00285774">
        <w:rPr>
          <w:rFonts w:ascii="Calibri" w:hAnsi="Calibri" w:cs="Calibri"/>
          <w:b/>
          <w:sz w:val="22"/>
          <w:szCs w:val="22"/>
          <w:lang w:val="bg-BG" w:eastAsia="bg-BG"/>
        </w:rPr>
        <w:t>. Действията в областта на научноизследователската и развойната дейност</w:t>
      </w:r>
    </w:p>
    <w:p w14:paraId="07F992C9" w14:textId="77777777" w:rsidR="00D43EFE" w:rsidRPr="00285774" w:rsidRDefault="00D43EFE" w:rsidP="00D43EFE">
      <w:pPr>
        <w:jc w:val="both"/>
        <w:rPr>
          <w:rFonts w:ascii="Calibri" w:hAnsi="Calibri" w:cs="Calibri"/>
          <w:b/>
          <w:sz w:val="22"/>
          <w:szCs w:val="22"/>
          <w:lang w:val="ru-RU" w:eastAsia="bg-BG"/>
        </w:rPr>
      </w:pPr>
    </w:p>
    <w:p w14:paraId="0C80D142" w14:textId="77777777" w:rsidR="00D43EFE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lang w:val="bg-BG" w:eastAsia="bg-BG"/>
        </w:rPr>
        <w:t xml:space="preserve">Дейността на дружеството не е свързана с дейности в областта на научноизследователската и развойната дейност. </w:t>
      </w:r>
    </w:p>
    <w:p w14:paraId="2A4A63FE" w14:textId="77777777" w:rsidR="00861697" w:rsidRPr="00285774" w:rsidRDefault="00861697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</w:p>
    <w:p w14:paraId="02EAC3AB" w14:textId="77777777" w:rsidR="00D43EFE" w:rsidRPr="00285774" w:rsidRDefault="004B0F2A" w:rsidP="00D43EFE">
      <w:pPr>
        <w:jc w:val="both"/>
        <w:rPr>
          <w:rFonts w:ascii="Calibri" w:hAnsi="Calibri" w:cs="Calibri"/>
          <w:b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lastRenderedPageBreak/>
        <w:t>9</w:t>
      </w:r>
      <w:r w:rsidR="00D43EFE" w:rsidRPr="00285774">
        <w:rPr>
          <w:rFonts w:ascii="Calibri" w:hAnsi="Calibri" w:cs="Calibri"/>
          <w:b/>
          <w:sz w:val="22"/>
          <w:szCs w:val="22"/>
          <w:lang w:val="bg-BG" w:eastAsia="bg-BG"/>
        </w:rPr>
        <w:t>. Информацията, изисквана по реда на чл. 187д  от Търговския закон</w:t>
      </w:r>
      <w:r w:rsidR="00D43EFE" w:rsidRPr="00285774">
        <w:rPr>
          <w:rFonts w:ascii="Calibri" w:hAnsi="Calibri" w:cs="Calibri"/>
          <w:b/>
          <w:sz w:val="22"/>
          <w:szCs w:val="22"/>
          <w:lang w:val="ru-RU" w:eastAsia="bg-BG"/>
        </w:rPr>
        <w:t>:</w:t>
      </w:r>
    </w:p>
    <w:p w14:paraId="03613A09" w14:textId="77777777" w:rsidR="00D43EFE" w:rsidRPr="00285774" w:rsidRDefault="00D43EFE" w:rsidP="00D43EFE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43FC269D" w14:textId="77777777" w:rsidR="00D43EFE" w:rsidRPr="00285774" w:rsidRDefault="004B0F2A" w:rsidP="00D43EFE">
      <w:pPr>
        <w:jc w:val="both"/>
        <w:rPr>
          <w:rFonts w:ascii="Calibri" w:hAnsi="Calibri" w:cs="Calibri"/>
          <w:b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9</w:t>
      </w:r>
      <w:r w:rsidR="00D43EFE" w:rsidRPr="00285774">
        <w:rPr>
          <w:rFonts w:ascii="Calibri" w:hAnsi="Calibri" w:cs="Calibri"/>
          <w:b/>
          <w:sz w:val="22"/>
          <w:szCs w:val="22"/>
          <w:lang w:val="bg-BG" w:eastAsia="bg-BG"/>
        </w:rPr>
        <w:t>.1. броят и номиналната стойност на придобитите и прехвърлените през годината собствени акции, частта от капитала, която те представляват, както и цената, по която е станало придобиването или прехвърлянето</w:t>
      </w:r>
    </w:p>
    <w:p w14:paraId="3B624079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</w:p>
    <w:p w14:paraId="43503EA5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lang w:val="bg-BG" w:eastAsia="bg-BG"/>
        </w:rPr>
        <w:t>Не са извършвани прехвърляния.</w:t>
      </w:r>
    </w:p>
    <w:p w14:paraId="78800DDD" w14:textId="77777777" w:rsidR="00D43EFE" w:rsidRPr="00285774" w:rsidRDefault="004B0F2A" w:rsidP="00D43EFE">
      <w:pPr>
        <w:jc w:val="both"/>
        <w:rPr>
          <w:rFonts w:ascii="Calibri" w:hAnsi="Calibri" w:cs="Calibri"/>
          <w:b/>
          <w:sz w:val="22"/>
          <w:szCs w:val="22"/>
          <w:lang w:val="ru-RU" w:eastAsia="bg-BG"/>
        </w:rPr>
      </w:pP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9</w:t>
      </w:r>
      <w:r w:rsidR="00D43EFE" w:rsidRPr="00285774">
        <w:rPr>
          <w:rFonts w:ascii="Calibri" w:hAnsi="Calibri" w:cs="Calibri"/>
          <w:b/>
          <w:sz w:val="22"/>
          <w:szCs w:val="22"/>
          <w:lang w:val="bg-BG" w:eastAsia="bg-BG"/>
        </w:rPr>
        <w:t>.2. основанието за придобиванията, извършени през годината</w:t>
      </w:r>
    </w:p>
    <w:p w14:paraId="63A0D3E4" w14:textId="77777777" w:rsidR="00D43EFE" w:rsidRPr="00285774" w:rsidRDefault="00D43EFE" w:rsidP="00D43EFE">
      <w:pPr>
        <w:jc w:val="both"/>
        <w:rPr>
          <w:rFonts w:ascii="Calibri" w:hAnsi="Calibri" w:cs="Calibri"/>
          <w:color w:val="000000"/>
          <w:sz w:val="22"/>
          <w:szCs w:val="22"/>
          <w:lang w:val="bg-BG" w:eastAsia="bg-BG"/>
        </w:rPr>
      </w:pPr>
    </w:p>
    <w:p w14:paraId="2BEDAE5E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lang w:val="bg-BG" w:eastAsia="bg-BG"/>
        </w:rPr>
        <w:t>Не са правени придобивания.</w:t>
      </w:r>
    </w:p>
    <w:p w14:paraId="58470C23" w14:textId="77777777" w:rsidR="00D43EFE" w:rsidRPr="00285774" w:rsidRDefault="00D43EFE" w:rsidP="00D43EFE">
      <w:pPr>
        <w:jc w:val="both"/>
        <w:rPr>
          <w:rFonts w:ascii="Calibri" w:hAnsi="Calibri" w:cs="Calibri"/>
          <w:color w:val="000000"/>
          <w:sz w:val="22"/>
          <w:szCs w:val="22"/>
          <w:lang w:val="ru-RU" w:eastAsia="bg-BG"/>
        </w:rPr>
      </w:pPr>
    </w:p>
    <w:p w14:paraId="38A97933" w14:textId="77777777" w:rsidR="00D43EFE" w:rsidRPr="00285774" w:rsidRDefault="004B0F2A" w:rsidP="00D43EFE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9</w:t>
      </w:r>
      <w:r w:rsidR="00D43EFE" w:rsidRPr="00285774">
        <w:rPr>
          <w:rFonts w:ascii="Calibri" w:hAnsi="Calibri" w:cs="Calibri"/>
          <w:b/>
          <w:sz w:val="22"/>
          <w:szCs w:val="22"/>
          <w:lang w:val="bg-BG" w:eastAsia="bg-BG"/>
        </w:rPr>
        <w:t>.3. броят и номиналната стойност на притежаваните собствени акции и частта от капитала, която те представляват</w:t>
      </w:r>
    </w:p>
    <w:p w14:paraId="589B753D" w14:textId="77777777" w:rsidR="00D43EFE" w:rsidRPr="00285774" w:rsidRDefault="00D43EFE" w:rsidP="00D43EFE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5EED8B96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sz w:val="22"/>
          <w:szCs w:val="22"/>
          <w:lang w:val="bg-BG" w:eastAsia="bg-BG"/>
        </w:rPr>
        <w:t>Дружеството не притежава собствени акции.</w:t>
      </w:r>
    </w:p>
    <w:p w14:paraId="5A10DEF2" w14:textId="77777777" w:rsidR="00D43EFE" w:rsidRPr="00285774" w:rsidRDefault="00D43EFE" w:rsidP="00D43EFE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5445C181" w14:textId="77777777" w:rsidR="00D43EFE" w:rsidRPr="00285774" w:rsidRDefault="004B0F2A" w:rsidP="00D43EFE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10</w:t>
      </w:r>
      <w:r w:rsidR="00D43EFE" w:rsidRPr="00285774">
        <w:rPr>
          <w:rFonts w:ascii="Calibri" w:hAnsi="Calibri" w:cs="Calibri"/>
          <w:b/>
          <w:sz w:val="22"/>
          <w:szCs w:val="22"/>
          <w:lang w:val="bg-BG" w:eastAsia="bg-BG"/>
        </w:rPr>
        <w:t>. Наличието на клонове на предприятието</w:t>
      </w:r>
    </w:p>
    <w:p w14:paraId="131D58AB" w14:textId="77777777" w:rsidR="00D43EFE" w:rsidRPr="00285774" w:rsidRDefault="00D43EFE" w:rsidP="00D43EFE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</w:p>
    <w:p w14:paraId="67DF53B0" w14:textId="4F53D741" w:rsidR="00D43EFE" w:rsidRDefault="00D43EFE" w:rsidP="00D43EFE">
      <w:pPr>
        <w:jc w:val="both"/>
        <w:rPr>
          <w:rFonts w:ascii="Calibri" w:hAnsi="Calibri" w:cs="Calibri"/>
          <w:color w:val="000000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color w:val="000000"/>
          <w:sz w:val="22"/>
          <w:szCs w:val="22"/>
          <w:lang w:val="bg-BG" w:eastAsia="bg-BG"/>
        </w:rPr>
        <w:t>Дружеството няма клонове.</w:t>
      </w:r>
    </w:p>
    <w:p w14:paraId="7D9A7049" w14:textId="77777777" w:rsidR="00D43EFE" w:rsidRPr="00285774" w:rsidRDefault="00D43EFE" w:rsidP="00D43EFE">
      <w:pPr>
        <w:jc w:val="both"/>
        <w:rPr>
          <w:rFonts w:ascii="Calibri" w:hAnsi="Calibri" w:cs="Calibri"/>
          <w:color w:val="000000"/>
          <w:sz w:val="22"/>
          <w:szCs w:val="22"/>
          <w:lang w:val="bg-BG" w:eastAsia="bg-BG"/>
        </w:rPr>
      </w:pPr>
    </w:p>
    <w:p w14:paraId="28D28932" w14:textId="77777777" w:rsidR="00D43EFE" w:rsidRPr="00285774" w:rsidRDefault="00D43EFE" w:rsidP="00D43EFE">
      <w:pPr>
        <w:jc w:val="both"/>
        <w:rPr>
          <w:rFonts w:ascii="Calibri" w:hAnsi="Calibri" w:cs="Calibri"/>
          <w:b/>
          <w:color w:val="FF0000"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sz w:val="22"/>
          <w:szCs w:val="22"/>
          <w:lang w:val="ru-RU" w:eastAsia="bg-BG"/>
        </w:rPr>
        <w:t>1</w:t>
      </w:r>
      <w:r w:rsidR="004B0F2A" w:rsidRPr="00285774">
        <w:rPr>
          <w:rFonts w:ascii="Calibri" w:hAnsi="Calibri" w:cs="Calibri"/>
          <w:b/>
          <w:sz w:val="22"/>
          <w:szCs w:val="22"/>
          <w:lang w:val="bg-BG" w:eastAsia="bg-BG"/>
        </w:rPr>
        <w:t>1</w:t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. Използваните от предприятието финансови инструменти</w:t>
      </w:r>
    </w:p>
    <w:p w14:paraId="2FE61390" w14:textId="77777777" w:rsidR="00D43EFE" w:rsidRPr="00285774" w:rsidRDefault="00D43EFE" w:rsidP="00D43EFE">
      <w:pPr>
        <w:jc w:val="both"/>
        <w:rPr>
          <w:rFonts w:ascii="Calibri" w:hAnsi="Calibri" w:cs="Calibri"/>
          <w:b/>
          <w:color w:val="FF0000"/>
          <w:sz w:val="22"/>
          <w:szCs w:val="22"/>
          <w:lang w:val="bg-BG" w:eastAsia="bg-BG"/>
        </w:rPr>
      </w:pPr>
    </w:p>
    <w:p w14:paraId="28895155" w14:textId="77777777" w:rsidR="00D43EFE" w:rsidRPr="00285774" w:rsidRDefault="00D43EFE" w:rsidP="00D43EFE">
      <w:pPr>
        <w:spacing w:after="240"/>
        <w:jc w:val="both"/>
        <w:rPr>
          <w:rFonts w:ascii="Calibri" w:hAnsi="Calibri" w:cs="Calibri"/>
          <w:sz w:val="22"/>
          <w:szCs w:val="22"/>
          <w:lang w:val="ru-RU"/>
        </w:rPr>
      </w:pPr>
      <w:r w:rsidRPr="00285774">
        <w:rPr>
          <w:rFonts w:ascii="Calibri" w:hAnsi="Calibri" w:cs="Calibri"/>
          <w:sz w:val="22"/>
          <w:szCs w:val="22"/>
          <w:lang w:val="ru-RU"/>
        </w:rPr>
        <w:t xml:space="preserve">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осъществяване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своята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дейност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е изложено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кредитен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риск,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който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свързан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 риска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някой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контрагентите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му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да не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бъде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състояние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изпълни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изцяло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в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обичайно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предвидените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срокове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задълженията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към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него.</w:t>
      </w:r>
    </w:p>
    <w:p w14:paraId="3701F170" w14:textId="77777777" w:rsidR="00D43EFE" w:rsidRPr="00285774" w:rsidRDefault="00D43EFE" w:rsidP="00D43EFE">
      <w:pPr>
        <w:spacing w:after="240"/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Финансовите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активи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концентрирани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две групи: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парични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средства (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депозити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)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вземания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клиенти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>.</w:t>
      </w:r>
    </w:p>
    <w:p w14:paraId="60981B12" w14:textId="77777777" w:rsidR="00D43EFE" w:rsidRPr="00285774" w:rsidRDefault="00D43EFE" w:rsidP="00D43EFE">
      <w:pPr>
        <w:spacing w:after="240"/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Паричните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средства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се </w:t>
      </w:r>
      <w:proofErr w:type="spellStart"/>
      <w:proofErr w:type="gramStart"/>
      <w:r w:rsidRPr="00285774">
        <w:rPr>
          <w:rFonts w:ascii="Calibri" w:hAnsi="Calibri" w:cs="Calibri"/>
          <w:sz w:val="22"/>
          <w:szCs w:val="22"/>
          <w:lang w:val="ru-RU"/>
        </w:rPr>
        <w:t>предоставени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 в</w:t>
      </w:r>
      <w:proofErr w:type="gramEnd"/>
      <w:r w:rsidRPr="00285774">
        <w:rPr>
          <w:rFonts w:ascii="Calibri" w:hAnsi="Calibri" w:cs="Calibri"/>
          <w:sz w:val="22"/>
          <w:szCs w:val="22"/>
          <w:lang w:val="ru-RU"/>
        </w:rPr>
        <w:t xml:space="preserve"> банк</w:t>
      </w:r>
      <w:r w:rsidR="00E43DF7" w:rsidRPr="00285774">
        <w:rPr>
          <w:rFonts w:ascii="Calibri" w:hAnsi="Calibri" w:cs="Calibri"/>
          <w:sz w:val="22"/>
          <w:szCs w:val="22"/>
          <w:lang w:val="ru-RU"/>
        </w:rPr>
        <w:t>и</w:t>
      </w:r>
      <w:r w:rsidRPr="00285774">
        <w:rPr>
          <w:rFonts w:ascii="Calibri" w:hAnsi="Calibri" w:cs="Calibri"/>
          <w:sz w:val="22"/>
          <w:szCs w:val="22"/>
          <w:lang w:val="ru-RU"/>
        </w:rPr>
        <w:t xml:space="preserve">, с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висока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репутация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стабилна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ликвидност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значително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ограничава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риска.</w:t>
      </w:r>
    </w:p>
    <w:p w14:paraId="46536305" w14:textId="77777777" w:rsidR="00D43EFE" w:rsidRPr="00285774" w:rsidRDefault="00D43EFE" w:rsidP="00D43EFE">
      <w:pPr>
        <w:spacing w:after="240"/>
        <w:jc w:val="both"/>
        <w:rPr>
          <w:rFonts w:ascii="Calibri" w:hAnsi="Calibri" w:cs="Calibri"/>
          <w:sz w:val="22"/>
          <w:szCs w:val="22"/>
          <w:lang w:val="ru-RU"/>
        </w:rPr>
      </w:pPr>
      <w:r w:rsidRPr="00285774">
        <w:rPr>
          <w:rFonts w:ascii="Calibri" w:hAnsi="Calibri" w:cs="Calibri"/>
          <w:sz w:val="22"/>
          <w:szCs w:val="22"/>
          <w:lang w:val="ru-RU"/>
        </w:rPr>
        <w:t xml:space="preserve">По отношение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клиентите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политиката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е да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извършва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продажбите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си 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условията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строго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лимитирани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срокове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плащане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.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Събираемостта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концентрацията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вземанията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контролират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текущо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съгласно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установената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политика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индикатори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gramStart"/>
      <w:r w:rsidRPr="00285774">
        <w:rPr>
          <w:rFonts w:ascii="Calibri" w:hAnsi="Calibri" w:cs="Calibri"/>
          <w:sz w:val="22"/>
          <w:szCs w:val="22"/>
          <w:lang w:val="ru-RU"/>
        </w:rPr>
        <w:t>за проблем</w:t>
      </w:r>
      <w:proofErr w:type="gramEnd"/>
      <w:r w:rsidRPr="00285774">
        <w:rPr>
          <w:rFonts w:ascii="Calibri" w:hAnsi="Calibri" w:cs="Calibri"/>
          <w:sz w:val="22"/>
          <w:szCs w:val="22"/>
          <w:lang w:val="ru-RU"/>
        </w:rPr>
        <w:t xml:space="preserve"> - се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прави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контакт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със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съответния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клиент за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определяне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мерки за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лимитиране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gramStart"/>
      <w:r w:rsidRPr="00285774">
        <w:rPr>
          <w:rFonts w:ascii="Calibri" w:hAnsi="Calibri" w:cs="Calibri"/>
          <w:sz w:val="22"/>
          <w:szCs w:val="22"/>
          <w:lang w:val="ru-RU"/>
        </w:rPr>
        <w:t>на риска</w:t>
      </w:r>
      <w:proofErr w:type="gram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загуби.</w:t>
      </w:r>
    </w:p>
    <w:p w14:paraId="080A9CB9" w14:textId="730C19EA" w:rsidR="00D43EFE" w:rsidRDefault="00D43EFE" w:rsidP="00D43EFE">
      <w:pPr>
        <w:spacing w:after="240"/>
        <w:jc w:val="both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Излагането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кредитен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риск е ограничено до размера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балансовата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стойност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финансовите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активи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признати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края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отчетния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период,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както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е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посочено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proofErr w:type="gramStart"/>
      <w:r w:rsidRPr="00285774">
        <w:rPr>
          <w:rFonts w:ascii="Calibri" w:hAnsi="Calibri" w:cs="Calibri"/>
          <w:sz w:val="22"/>
          <w:szCs w:val="22"/>
          <w:lang w:val="ru-RU"/>
        </w:rPr>
        <w:t>по-долу</w:t>
      </w:r>
      <w:proofErr w:type="spellEnd"/>
      <w:proofErr w:type="gramEnd"/>
      <w:r w:rsidRPr="00285774">
        <w:rPr>
          <w:rFonts w:ascii="Calibri" w:hAnsi="Calibri" w:cs="Calibri"/>
          <w:sz w:val="22"/>
          <w:szCs w:val="22"/>
          <w:lang w:val="ru-RU"/>
        </w:rPr>
        <w:t>:</w:t>
      </w:r>
    </w:p>
    <w:tbl>
      <w:tblPr>
        <w:tblW w:w="91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1641"/>
        <w:gridCol w:w="1472"/>
      </w:tblGrid>
      <w:tr w:rsidR="00FD68DA" w:rsidRPr="00FD68DA" w14:paraId="01F518DF" w14:textId="77777777" w:rsidTr="00730ACF">
        <w:trPr>
          <w:trHeight w:val="138"/>
        </w:trPr>
        <w:tc>
          <w:tcPr>
            <w:tcW w:w="6054" w:type="dxa"/>
            <w:shd w:val="clear" w:color="auto" w:fill="FFFFFF"/>
          </w:tcPr>
          <w:p w14:paraId="36F5A5CA" w14:textId="77777777" w:rsidR="00FD68DA" w:rsidRPr="00FD68DA" w:rsidRDefault="00FD68DA" w:rsidP="00FD68DA">
            <w:pPr>
              <w:snapToGrid w:val="0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shd w:val="clear" w:color="auto" w:fill="FFFFFF"/>
          </w:tcPr>
          <w:p w14:paraId="08E5FE3E" w14:textId="77777777" w:rsidR="00FD68DA" w:rsidRPr="00FD68DA" w:rsidRDefault="00FD68DA" w:rsidP="00FD68DA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</w:t>
            </w: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bg-BG"/>
              </w:rPr>
              <w:t>1</w:t>
            </w: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.03.</w:t>
            </w: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bg-BG"/>
              </w:rPr>
              <w:t>20</w:t>
            </w: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</w:t>
            </w:r>
          </w:p>
        </w:tc>
        <w:tc>
          <w:tcPr>
            <w:tcW w:w="1472" w:type="dxa"/>
            <w:shd w:val="clear" w:color="auto" w:fill="FFFFFF"/>
          </w:tcPr>
          <w:p w14:paraId="7A574B6A" w14:textId="77777777" w:rsidR="00FD68DA" w:rsidRPr="00FD68DA" w:rsidRDefault="00FD68DA" w:rsidP="00FD68DA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31.12.</w:t>
            </w: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bg-BG"/>
              </w:rPr>
              <w:t>20</w:t>
            </w: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</w:t>
            </w:r>
          </w:p>
        </w:tc>
      </w:tr>
      <w:tr w:rsidR="00FD68DA" w:rsidRPr="00FD68DA" w14:paraId="7460913D" w14:textId="77777777" w:rsidTr="00730ACF">
        <w:trPr>
          <w:trHeight w:val="182"/>
        </w:trPr>
        <w:tc>
          <w:tcPr>
            <w:tcW w:w="6054" w:type="dxa"/>
            <w:shd w:val="clear" w:color="auto" w:fill="FFFFFF"/>
          </w:tcPr>
          <w:p w14:paraId="32C7E420" w14:textId="77777777" w:rsidR="00FD68DA" w:rsidRPr="00FD68DA" w:rsidRDefault="00FD68DA" w:rsidP="00FD68DA">
            <w:pPr>
              <w:rPr>
                <w:rFonts w:ascii="Calibri" w:hAnsi="Calibri" w:cs="Calibri"/>
                <w:sz w:val="22"/>
                <w:szCs w:val="22"/>
              </w:rPr>
            </w:pPr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641" w:type="dxa"/>
            <w:shd w:val="clear" w:color="auto" w:fill="FFFFFF"/>
          </w:tcPr>
          <w:p w14:paraId="3987738C" w14:textId="77777777" w:rsidR="00FD68DA" w:rsidRPr="00FD68DA" w:rsidRDefault="00FD68DA" w:rsidP="00FD68DA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bg-BG"/>
              </w:rPr>
              <w:t xml:space="preserve">‘000 </w:t>
            </w: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евро</w:t>
            </w:r>
          </w:p>
        </w:tc>
        <w:tc>
          <w:tcPr>
            <w:tcW w:w="1472" w:type="dxa"/>
            <w:shd w:val="clear" w:color="auto" w:fill="FFFFFF"/>
          </w:tcPr>
          <w:p w14:paraId="1C689D20" w14:textId="77777777" w:rsidR="00FD68DA" w:rsidRPr="00FD68DA" w:rsidRDefault="00FD68DA" w:rsidP="00FD68DA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bg-BG"/>
              </w:rPr>
              <w:t xml:space="preserve">‘000 </w:t>
            </w:r>
            <w:r w:rsidRPr="00FD6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евро</w:t>
            </w:r>
          </w:p>
        </w:tc>
      </w:tr>
      <w:tr w:rsidR="00FD68DA" w:rsidRPr="00EE5253" w14:paraId="22CC84F2" w14:textId="77777777" w:rsidTr="00730ACF">
        <w:trPr>
          <w:trHeight w:val="182"/>
        </w:trPr>
        <w:tc>
          <w:tcPr>
            <w:tcW w:w="6054" w:type="dxa"/>
            <w:shd w:val="clear" w:color="auto" w:fill="FFFFFF"/>
          </w:tcPr>
          <w:p w14:paraId="37B0CF57" w14:textId="77777777" w:rsidR="00FD68DA" w:rsidRPr="00FD68DA" w:rsidRDefault="00FD68DA" w:rsidP="00FD68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  <w:t xml:space="preserve">Групи </w:t>
            </w:r>
            <w:proofErr w:type="spellStart"/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  <w:t>финансови</w:t>
            </w:r>
            <w:proofErr w:type="spellEnd"/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  <w:t xml:space="preserve"> </w:t>
            </w:r>
            <w:proofErr w:type="spellStart"/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  <w:t>активи</w:t>
            </w:r>
            <w:proofErr w:type="spellEnd"/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  <w:t xml:space="preserve"> – </w:t>
            </w:r>
            <w:proofErr w:type="spellStart"/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  <w:t>балансови</w:t>
            </w:r>
            <w:proofErr w:type="spellEnd"/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  <w:t xml:space="preserve"> </w:t>
            </w:r>
            <w:proofErr w:type="spellStart"/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  <w:t>стойности</w:t>
            </w:r>
            <w:proofErr w:type="spellEnd"/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  <w:t>:</w:t>
            </w:r>
          </w:p>
        </w:tc>
        <w:tc>
          <w:tcPr>
            <w:tcW w:w="1641" w:type="dxa"/>
            <w:shd w:val="clear" w:color="auto" w:fill="FFFFFF"/>
          </w:tcPr>
          <w:p w14:paraId="150F11F4" w14:textId="77777777" w:rsidR="00FD68DA" w:rsidRPr="00FD68DA" w:rsidRDefault="00FD68DA" w:rsidP="00FD68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472" w:type="dxa"/>
            <w:shd w:val="clear" w:color="auto" w:fill="FFFFFF"/>
          </w:tcPr>
          <w:p w14:paraId="7E306CD8" w14:textId="77777777" w:rsidR="00FD68DA" w:rsidRPr="00FD68DA" w:rsidRDefault="00FD68DA" w:rsidP="00FD68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FD68DA" w:rsidRPr="00FD68DA" w14:paraId="260E82BE" w14:textId="77777777" w:rsidTr="00730ACF">
        <w:trPr>
          <w:trHeight w:val="182"/>
        </w:trPr>
        <w:tc>
          <w:tcPr>
            <w:tcW w:w="6054" w:type="dxa"/>
            <w:shd w:val="clear" w:color="auto" w:fill="FFFFFF"/>
          </w:tcPr>
          <w:p w14:paraId="1B14EFBD" w14:textId="77777777" w:rsidR="00FD68DA" w:rsidRPr="00EE5253" w:rsidRDefault="00FD68DA" w:rsidP="00FD68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E5253"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  <w:t>Финансови</w:t>
            </w:r>
            <w:proofErr w:type="spellEnd"/>
            <w:r w:rsidRPr="00EE5253"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5253"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  <w:t>активи</w:t>
            </w:r>
            <w:proofErr w:type="spellEnd"/>
            <w:r w:rsidRPr="00EE5253"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  <w:t xml:space="preserve"> по справедлива </w:t>
            </w:r>
            <w:proofErr w:type="spellStart"/>
            <w:r w:rsidRPr="00EE5253"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  <w:t>стойност</w:t>
            </w:r>
            <w:proofErr w:type="spellEnd"/>
            <w:r w:rsidRPr="00EE5253"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  <w:t xml:space="preserve"> в </w:t>
            </w:r>
          </w:p>
          <w:p w14:paraId="0D3DE581" w14:textId="77777777" w:rsidR="00FD68DA" w:rsidRPr="00FD68DA" w:rsidRDefault="00FD68DA" w:rsidP="00FD68D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bg-BG"/>
              </w:rPr>
            </w:pPr>
            <w:proofErr w:type="spellStart"/>
            <w:r w:rsidRPr="00FD68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печалбата</w:t>
            </w:r>
            <w:proofErr w:type="spellEnd"/>
            <w:r w:rsidRPr="00FD68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68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или</w:t>
            </w:r>
            <w:proofErr w:type="spellEnd"/>
            <w:r w:rsidRPr="00FD68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68D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загубата</w:t>
            </w:r>
            <w:proofErr w:type="spellEnd"/>
          </w:p>
        </w:tc>
        <w:tc>
          <w:tcPr>
            <w:tcW w:w="1641" w:type="dxa"/>
            <w:shd w:val="clear" w:color="auto" w:fill="FFFFFF"/>
          </w:tcPr>
          <w:p w14:paraId="1A9A300D" w14:textId="77777777" w:rsidR="00FD68DA" w:rsidRPr="00FD68DA" w:rsidRDefault="00FD68DA" w:rsidP="00FD6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1 438</w:t>
            </w:r>
          </w:p>
        </w:tc>
        <w:tc>
          <w:tcPr>
            <w:tcW w:w="1472" w:type="dxa"/>
            <w:shd w:val="clear" w:color="auto" w:fill="FFFFFF"/>
          </w:tcPr>
          <w:p w14:paraId="28322051" w14:textId="77777777" w:rsidR="00FD68DA" w:rsidRPr="00FD68DA" w:rsidRDefault="00FD68DA" w:rsidP="00FD6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923</w:t>
            </w:r>
          </w:p>
        </w:tc>
      </w:tr>
      <w:tr w:rsidR="00FD68DA" w:rsidRPr="00FD68DA" w14:paraId="139F3E98" w14:textId="77777777" w:rsidTr="00730ACF">
        <w:trPr>
          <w:trHeight w:val="182"/>
        </w:trPr>
        <w:tc>
          <w:tcPr>
            <w:tcW w:w="6054" w:type="dxa"/>
            <w:shd w:val="clear" w:color="auto" w:fill="FFFFFF"/>
            <w:vAlign w:val="bottom"/>
          </w:tcPr>
          <w:p w14:paraId="15BA7929" w14:textId="77777777" w:rsidR="00FD68DA" w:rsidRPr="00FD68DA" w:rsidRDefault="00FD68DA" w:rsidP="00FD68DA">
            <w:pPr>
              <w:rPr>
                <w:rFonts w:ascii="Calibri" w:hAnsi="Calibri" w:cs="Calibri"/>
                <w:sz w:val="22"/>
                <w:szCs w:val="22"/>
              </w:rPr>
            </w:pPr>
            <w:r w:rsidRPr="00FD68DA">
              <w:rPr>
                <w:rFonts w:ascii="Calibri" w:hAnsi="Calibri" w:cs="Calibri"/>
                <w:sz w:val="22"/>
                <w:szCs w:val="22"/>
                <w:lang w:val="bg-BG"/>
              </w:rPr>
              <w:t>Търговски и други вземания</w:t>
            </w:r>
          </w:p>
        </w:tc>
        <w:tc>
          <w:tcPr>
            <w:tcW w:w="1641" w:type="dxa"/>
            <w:shd w:val="clear" w:color="auto" w:fill="FFFFFF"/>
          </w:tcPr>
          <w:p w14:paraId="2DC6CDF9" w14:textId="72CF7D45" w:rsidR="00FD68DA" w:rsidRPr="00FD68DA" w:rsidRDefault="009B551D" w:rsidP="00FD6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</w:t>
            </w:r>
            <w:r w:rsidR="00FD68DA" w:rsidRPr="00FD68D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1472" w:type="dxa"/>
            <w:shd w:val="clear" w:color="auto" w:fill="FFFFFF"/>
          </w:tcPr>
          <w:p w14:paraId="3ED88626" w14:textId="7687F5FE" w:rsidR="00FD68DA" w:rsidRPr="00FD68DA" w:rsidRDefault="009B551D" w:rsidP="00FD6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</w:t>
            </w:r>
          </w:p>
        </w:tc>
      </w:tr>
      <w:tr w:rsidR="00FD68DA" w:rsidRPr="00FD68DA" w14:paraId="6A1B47E8" w14:textId="77777777" w:rsidTr="00730ACF">
        <w:trPr>
          <w:trHeight w:val="182"/>
        </w:trPr>
        <w:tc>
          <w:tcPr>
            <w:tcW w:w="6054" w:type="dxa"/>
            <w:shd w:val="clear" w:color="auto" w:fill="FFFFFF"/>
            <w:vAlign w:val="bottom"/>
          </w:tcPr>
          <w:p w14:paraId="5F30F813" w14:textId="77777777" w:rsidR="00FD68DA" w:rsidRPr="00FD68DA" w:rsidRDefault="00FD68DA" w:rsidP="00FD68DA">
            <w:pPr>
              <w:rPr>
                <w:rFonts w:ascii="Calibri" w:hAnsi="Calibri" w:cs="Calibri"/>
                <w:sz w:val="22"/>
                <w:szCs w:val="22"/>
              </w:rPr>
            </w:pPr>
            <w:r w:rsidRPr="00FD68DA">
              <w:rPr>
                <w:rFonts w:ascii="Calibri" w:hAnsi="Calibri" w:cs="Calibri"/>
                <w:sz w:val="22"/>
                <w:szCs w:val="22"/>
                <w:lang w:val="bg-BG"/>
              </w:rPr>
              <w:t>Пари и парични еквиваленти</w:t>
            </w:r>
          </w:p>
        </w:tc>
        <w:tc>
          <w:tcPr>
            <w:tcW w:w="1641" w:type="dxa"/>
            <w:shd w:val="clear" w:color="auto" w:fill="FFFFFF"/>
          </w:tcPr>
          <w:p w14:paraId="74A9ED35" w14:textId="1421FF4F" w:rsidR="00FD68DA" w:rsidRPr="00FD68DA" w:rsidRDefault="009B551D" w:rsidP="00FD68DA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bg-BG"/>
              </w:rPr>
              <w:t>52</w:t>
            </w:r>
          </w:p>
        </w:tc>
        <w:tc>
          <w:tcPr>
            <w:tcW w:w="1472" w:type="dxa"/>
            <w:shd w:val="clear" w:color="auto" w:fill="FFFFFF"/>
          </w:tcPr>
          <w:p w14:paraId="35FDF135" w14:textId="77777777" w:rsidR="00FD68DA" w:rsidRPr="00FD68DA" w:rsidRDefault="00FD68DA" w:rsidP="00FD68DA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68D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595</w:t>
            </w:r>
          </w:p>
        </w:tc>
      </w:tr>
      <w:tr w:rsidR="00FD68DA" w:rsidRPr="00FD68DA" w14:paraId="78632A96" w14:textId="77777777" w:rsidTr="00730ACF">
        <w:trPr>
          <w:trHeight w:val="182"/>
        </w:trPr>
        <w:tc>
          <w:tcPr>
            <w:tcW w:w="6054" w:type="dxa"/>
            <w:shd w:val="clear" w:color="auto" w:fill="FFFFFF"/>
          </w:tcPr>
          <w:p w14:paraId="33A27E53" w14:textId="77777777" w:rsidR="00FD68DA" w:rsidRPr="00FD68DA" w:rsidRDefault="00FD68DA" w:rsidP="00FD68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68DA">
              <w:rPr>
                <w:rFonts w:ascii="Calibri" w:hAnsi="Calibri" w:cs="Calibri"/>
                <w:b/>
                <w:color w:val="000000"/>
                <w:sz w:val="22"/>
                <w:szCs w:val="22"/>
                <w:lang w:eastAsia="bg-BG"/>
              </w:rPr>
              <w:t>Балансова</w:t>
            </w:r>
            <w:proofErr w:type="spellEnd"/>
            <w:r w:rsidRPr="00FD68DA">
              <w:rPr>
                <w:rFonts w:ascii="Calibri" w:hAnsi="Calibri" w:cs="Calibri"/>
                <w:b/>
                <w:color w:val="000000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FD68DA">
              <w:rPr>
                <w:rFonts w:ascii="Calibri" w:hAnsi="Calibri" w:cs="Calibri"/>
                <w:b/>
                <w:color w:val="000000"/>
                <w:sz w:val="22"/>
                <w:szCs w:val="22"/>
                <w:lang w:eastAsia="bg-BG"/>
              </w:rPr>
              <w:t>стойност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7BD51755" w14:textId="3F7A9565" w:rsidR="00FD68DA" w:rsidRPr="00FD68DA" w:rsidRDefault="00FD68DA" w:rsidP="00FD68DA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68DA">
              <w:rPr>
                <w:rFonts w:ascii="Calibri" w:hAnsi="Calibri" w:cs="Calibri"/>
                <w:b/>
                <w:sz w:val="22"/>
                <w:szCs w:val="22"/>
                <w:lang w:val="bg-BG" w:eastAsia="bg-BG"/>
              </w:rPr>
              <w:t xml:space="preserve">1 </w:t>
            </w:r>
            <w:r w:rsidR="009B551D">
              <w:rPr>
                <w:rFonts w:ascii="Calibri" w:hAnsi="Calibri" w:cs="Calibri"/>
                <w:b/>
                <w:sz w:val="22"/>
                <w:szCs w:val="22"/>
                <w:lang w:val="bg-BG" w:eastAsia="bg-BG"/>
              </w:rPr>
              <w:t>512</w:t>
            </w:r>
          </w:p>
        </w:tc>
        <w:tc>
          <w:tcPr>
            <w:tcW w:w="1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38ED0846" w14:textId="4DEB58C9" w:rsidR="00FD68DA" w:rsidRPr="00FD68DA" w:rsidRDefault="00FD68DA" w:rsidP="00FD68DA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D68DA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1 53</w:t>
            </w:r>
            <w:r w:rsidR="009B551D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8</w:t>
            </w:r>
          </w:p>
        </w:tc>
      </w:tr>
    </w:tbl>
    <w:p w14:paraId="324B19EC" w14:textId="50EEF2C0" w:rsidR="00FD68DA" w:rsidRDefault="00FD68DA" w:rsidP="00D43EFE">
      <w:pPr>
        <w:spacing w:after="240"/>
        <w:jc w:val="both"/>
        <w:rPr>
          <w:rFonts w:ascii="Calibri" w:hAnsi="Calibri" w:cs="Calibri"/>
          <w:sz w:val="22"/>
          <w:szCs w:val="22"/>
          <w:lang w:val="ru-RU"/>
        </w:rPr>
      </w:pPr>
    </w:p>
    <w:p w14:paraId="45BF0A7A" w14:textId="77777777" w:rsidR="00D43EFE" w:rsidRPr="00285774" w:rsidRDefault="00D43EFE" w:rsidP="00D43EFE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285774">
        <w:rPr>
          <w:rFonts w:ascii="Calibri" w:hAnsi="Calibri" w:cs="Calibri"/>
          <w:sz w:val="22"/>
          <w:szCs w:val="22"/>
          <w:lang w:val="ru-RU"/>
        </w:rPr>
        <w:lastRenderedPageBreak/>
        <w:t xml:space="preserve">При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оценяването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управлението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на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ликвидния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риск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Дружеството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отчита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очакваните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парични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потоци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финансови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инструменти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,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по-специално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наличните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парични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средства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търговски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вземания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.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Съгласно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сключените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договори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всички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парични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потоци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от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търговски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и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други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вземания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са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дължими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 xml:space="preserve"> в срок до един </w:t>
      </w:r>
      <w:proofErr w:type="spellStart"/>
      <w:r w:rsidRPr="00285774">
        <w:rPr>
          <w:rFonts w:ascii="Calibri" w:hAnsi="Calibri" w:cs="Calibri"/>
          <w:sz w:val="22"/>
          <w:szCs w:val="22"/>
          <w:lang w:val="ru-RU"/>
        </w:rPr>
        <w:t>месец</w:t>
      </w:r>
      <w:proofErr w:type="spellEnd"/>
      <w:r w:rsidRPr="00285774">
        <w:rPr>
          <w:rFonts w:ascii="Calibri" w:hAnsi="Calibri" w:cs="Calibri"/>
          <w:sz w:val="22"/>
          <w:szCs w:val="22"/>
          <w:lang w:val="ru-RU"/>
        </w:rPr>
        <w:t>.</w:t>
      </w:r>
    </w:p>
    <w:p w14:paraId="4D01BD1E" w14:textId="77777777" w:rsidR="00D43EFE" w:rsidRPr="00285774" w:rsidRDefault="00D43EFE" w:rsidP="00D43EFE">
      <w:pPr>
        <w:jc w:val="both"/>
        <w:rPr>
          <w:rFonts w:ascii="Calibri" w:hAnsi="Calibri" w:cs="Calibri"/>
          <w:color w:val="000000"/>
          <w:sz w:val="22"/>
          <w:szCs w:val="22"/>
          <w:lang w:val="bg-BG" w:eastAsia="bg-BG"/>
        </w:rPr>
      </w:pPr>
    </w:p>
    <w:p w14:paraId="56C0F6B9" w14:textId="77777777" w:rsidR="003C1572" w:rsidRPr="00285774" w:rsidRDefault="003C1572" w:rsidP="00D43EFE">
      <w:pPr>
        <w:jc w:val="both"/>
        <w:rPr>
          <w:rFonts w:ascii="Calibri" w:hAnsi="Calibri" w:cs="Calibri"/>
          <w:color w:val="000000"/>
          <w:sz w:val="22"/>
          <w:szCs w:val="22"/>
          <w:lang w:val="bg-BG" w:eastAsia="bg-BG"/>
        </w:rPr>
      </w:pPr>
    </w:p>
    <w:p w14:paraId="43C5F458" w14:textId="77777777" w:rsidR="003C1572" w:rsidRPr="00285774" w:rsidRDefault="003C1572" w:rsidP="00D43EFE">
      <w:pPr>
        <w:jc w:val="both"/>
        <w:rPr>
          <w:rFonts w:ascii="Calibri" w:hAnsi="Calibri" w:cs="Calibri"/>
          <w:color w:val="000000"/>
          <w:sz w:val="22"/>
          <w:szCs w:val="22"/>
          <w:lang w:val="bg-BG" w:eastAsia="bg-BG"/>
        </w:rPr>
      </w:pPr>
    </w:p>
    <w:p w14:paraId="1C3BA558" w14:textId="77777777" w:rsidR="003C1572" w:rsidRPr="00285774" w:rsidRDefault="003C1572" w:rsidP="003C1572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>София,</w:t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Pr="00285774">
        <w:rPr>
          <w:rFonts w:ascii="Calibri" w:hAnsi="Calibri" w:cs="Calibri"/>
          <w:b/>
          <w:sz w:val="22"/>
          <w:szCs w:val="22"/>
          <w:lang w:val="ru-RU" w:eastAsia="bg-BG"/>
        </w:rPr>
        <w:t xml:space="preserve">        </w:t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 xml:space="preserve">  Изпълнителен директор:</w:t>
      </w:r>
      <w:r w:rsidRPr="00285774">
        <w:rPr>
          <w:rFonts w:ascii="Calibri" w:hAnsi="Calibri" w:cs="Calibri"/>
          <w:b/>
          <w:sz w:val="22"/>
          <w:szCs w:val="22"/>
          <w:lang w:val="ru-RU" w:eastAsia="bg-BG"/>
        </w:rPr>
        <w:t>________________</w:t>
      </w:r>
      <w:r w:rsidRPr="00285774">
        <w:rPr>
          <w:rFonts w:ascii="Calibri" w:hAnsi="Calibri" w:cs="Calibri"/>
          <w:b/>
          <w:sz w:val="22"/>
          <w:szCs w:val="22"/>
          <w:lang w:val="bg-BG" w:eastAsia="bg-BG"/>
        </w:rPr>
        <w:t xml:space="preserve"> </w:t>
      </w:r>
    </w:p>
    <w:p w14:paraId="3742DE7C" w14:textId="1CA92AF4" w:rsidR="003C1572" w:rsidRPr="00285774" w:rsidRDefault="006A43C0" w:rsidP="003C1572">
      <w:pPr>
        <w:jc w:val="both"/>
        <w:rPr>
          <w:rFonts w:ascii="Calibri" w:hAnsi="Calibri" w:cs="Calibri"/>
          <w:b/>
          <w:sz w:val="22"/>
          <w:szCs w:val="22"/>
          <w:lang w:val="bg-BG" w:eastAsia="bg-BG"/>
        </w:rPr>
      </w:pPr>
      <w:r w:rsidRPr="009B551D">
        <w:rPr>
          <w:rFonts w:ascii="Calibri" w:hAnsi="Calibri" w:cs="Calibri"/>
          <w:b/>
          <w:bCs/>
          <w:sz w:val="22"/>
          <w:szCs w:val="22"/>
          <w:lang w:val="ru-RU" w:eastAsia="bg-BG"/>
        </w:rPr>
        <w:t>2</w:t>
      </w:r>
      <w:r w:rsidR="009B551D" w:rsidRPr="009B551D">
        <w:rPr>
          <w:rFonts w:ascii="Calibri" w:hAnsi="Calibri" w:cs="Calibri"/>
          <w:b/>
          <w:bCs/>
          <w:sz w:val="22"/>
          <w:szCs w:val="22"/>
          <w:lang w:val="ru-RU" w:eastAsia="bg-BG"/>
        </w:rPr>
        <w:t>8</w:t>
      </w:r>
      <w:r w:rsidR="003C1572" w:rsidRPr="009B551D">
        <w:rPr>
          <w:rFonts w:ascii="Calibri" w:hAnsi="Calibri" w:cs="Calibri"/>
          <w:b/>
          <w:bCs/>
          <w:sz w:val="22"/>
          <w:szCs w:val="22"/>
          <w:lang w:val="bg-BG" w:eastAsia="bg-BG"/>
        </w:rPr>
        <w:t>.</w:t>
      </w:r>
      <w:r w:rsidR="00064F0D" w:rsidRPr="009B551D">
        <w:rPr>
          <w:rFonts w:ascii="Calibri" w:hAnsi="Calibri" w:cs="Calibri"/>
          <w:b/>
          <w:bCs/>
          <w:sz w:val="22"/>
          <w:szCs w:val="22"/>
          <w:lang w:val="bg-BG" w:eastAsia="bg-BG"/>
        </w:rPr>
        <w:t>0</w:t>
      </w:r>
      <w:r w:rsidR="00037879" w:rsidRPr="009B551D">
        <w:rPr>
          <w:rFonts w:ascii="Calibri" w:hAnsi="Calibri" w:cs="Calibri"/>
          <w:b/>
          <w:bCs/>
          <w:sz w:val="22"/>
          <w:szCs w:val="22"/>
          <w:lang w:val="bg-BG" w:eastAsia="bg-BG"/>
        </w:rPr>
        <w:t>4</w:t>
      </w:r>
      <w:r w:rsidR="003C1572" w:rsidRPr="009B551D">
        <w:rPr>
          <w:rFonts w:ascii="Calibri" w:hAnsi="Calibri" w:cs="Calibri"/>
          <w:b/>
          <w:bCs/>
          <w:sz w:val="22"/>
          <w:szCs w:val="22"/>
          <w:lang w:val="bg-BG" w:eastAsia="bg-BG"/>
        </w:rPr>
        <w:t>.20</w:t>
      </w:r>
      <w:r w:rsidR="00E1765D" w:rsidRPr="009B551D">
        <w:rPr>
          <w:rFonts w:ascii="Calibri" w:hAnsi="Calibri" w:cs="Calibri"/>
          <w:b/>
          <w:bCs/>
          <w:sz w:val="22"/>
          <w:szCs w:val="22"/>
          <w:lang w:val="ru-RU" w:eastAsia="bg-BG"/>
        </w:rPr>
        <w:t>2</w:t>
      </w:r>
      <w:r w:rsidR="00C35935" w:rsidRPr="009B551D">
        <w:rPr>
          <w:rFonts w:ascii="Calibri" w:hAnsi="Calibri" w:cs="Calibri"/>
          <w:b/>
          <w:bCs/>
          <w:sz w:val="22"/>
          <w:szCs w:val="22"/>
          <w:lang w:val="ru-RU" w:eastAsia="bg-BG"/>
        </w:rPr>
        <w:t>6</w:t>
      </w:r>
      <w:r w:rsidR="003C1572" w:rsidRPr="009B551D">
        <w:rPr>
          <w:rFonts w:ascii="Calibri" w:hAnsi="Calibri" w:cs="Calibri"/>
          <w:b/>
          <w:bCs/>
          <w:sz w:val="22"/>
          <w:szCs w:val="22"/>
          <w:lang w:val="bg-BG" w:eastAsia="bg-BG"/>
        </w:rPr>
        <w:t xml:space="preserve"> г.</w:t>
      </w:r>
      <w:r w:rsidR="003C1572"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="003C1572"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="003C1572"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="003C1572"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="003C1572"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="003C1572"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="003C1572" w:rsidRPr="00285774">
        <w:rPr>
          <w:rFonts w:ascii="Calibri" w:hAnsi="Calibri" w:cs="Calibri"/>
          <w:b/>
          <w:sz w:val="22"/>
          <w:szCs w:val="22"/>
          <w:lang w:val="bg-BG" w:eastAsia="bg-BG"/>
        </w:rPr>
        <w:tab/>
      </w:r>
      <w:r w:rsidR="003C1572" w:rsidRPr="00285774">
        <w:rPr>
          <w:rFonts w:ascii="Calibri" w:hAnsi="Calibri" w:cs="Calibri"/>
          <w:b/>
          <w:sz w:val="22"/>
          <w:szCs w:val="22"/>
          <w:lang w:val="ru-RU" w:eastAsia="bg-BG"/>
        </w:rPr>
        <w:t xml:space="preserve">                   </w:t>
      </w:r>
      <w:r w:rsidR="008C2719" w:rsidRPr="00285774">
        <w:rPr>
          <w:rFonts w:ascii="Calibri" w:hAnsi="Calibri" w:cs="Calibri"/>
          <w:b/>
          <w:sz w:val="22"/>
          <w:szCs w:val="22"/>
          <w:lang w:val="bg-BG"/>
        </w:rPr>
        <w:t>Валентин Стоилов</w:t>
      </w:r>
    </w:p>
    <w:sectPr w:rsidR="003C1572" w:rsidRPr="0028577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CB28" w14:textId="77777777" w:rsidR="00D80A56" w:rsidRDefault="00D80A56" w:rsidP="0039099B">
      <w:r>
        <w:separator/>
      </w:r>
    </w:p>
  </w:endnote>
  <w:endnote w:type="continuationSeparator" w:id="0">
    <w:p w14:paraId="0BBE4FBA" w14:textId="77777777" w:rsidR="00D80A56" w:rsidRDefault="00D80A56" w:rsidP="0039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9FE9" w14:textId="2B79485A" w:rsidR="002E6396" w:rsidRDefault="002E639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D4F">
      <w:rPr>
        <w:noProof/>
      </w:rPr>
      <w:t>6</w:t>
    </w:r>
    <w:r>
      <w:rPr>
        <w:noProof/>
      </w:rPr>
      <w:fldChar w:fldCharType="end"/>
    </w:r>
  </w:p>
  <w:p w14:paraId="095CA024" w14:textId="77777777" w:rsidR="002E6396" w:rsidRDefault="002E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9BFA" w14:textId="77777777" w:rsidR="00D80A56" w:rsidRDefault="00D80A56" w:rsidP="0039099B">
      <w:r>
        <w:separator/>
      </w:r>
    </w:p>
  </w:footnote>
  <w:footnote w:type="continuationSeparator" w:id="0">
    <w:p w14:paraId="0B8CCAFD" w14:textId="77777777" w:rsidR="00D80A56" w:rsidRDefault="00D80A56" w:rsidP="0039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66"/>
        </w:tabs>
        <w:ind w:left="786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</w:abstractNum>
  <w:abstractNum w:abstractNumId="2" w15:restartNumberingAfterBreak="0">
    <w:nsid w:val="076F67C9"/>
    <w:multiLevelType w:val="hybridMultilevel"/>
    <w:tmpl w:val="1CDE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408"/>
    <w:multiLevelType w:val="multilevel"/>
    <w:tmpl w:val="6D98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C344D"/>
    <w:multiLevelType w:val="hybridMultilevel"/>
    <w:tmpl w:val="6FFEE5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1849"/>
    <w:multiLevelType w:val="hybridMultilevel"/>
    <w:tmpl w:val="790C3B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05A1"/>
    <w:multiLevelType w:val="hybridMultilevel"/>
    <w:tmpl w:val="DBAA8DC8"/>
    <w:lvl w:ilvl="0" w:tplc="11E035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3F6F"/>
    <w:multiLevelType w:val="hybridMultilevel"/>
    <w:tmpl w:val="B4B4FFE8"/>
    <w:lvl w:ilvl="0" w:tplc="B720EA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91992"/>
    <w:multiLevelType w:val="hybridMultilevel"/>
    <w:tmpl w:val="BEF40BC4"/>
    <w:lvl w:ilvl="0" w:tplc="083896C0">
      <w:start w:val="34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67C32"/>
    <w:multiLevelType w:val="hybridMultilevel"/>
    <w:tmpl w:val="8ECCA2DC"/>
    <w:lvl w:ilvl="0" w:tplc="7C1239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62690"/>
    <w:multiLevelType w:val="hybridMultilevel"/>
    <w:tmpl w:val="190E90B0"/>
    <w:lvl w:ilvl="0" w:tplc="11E035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4625"/>
    <w:multiLevelType w:val="hybridMultilevel"/>
    <w:tmpl w:val="1DE43DF8"/>
    <w:lvl w:ilvl="0" w:tplc="9A426C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742B2"/>
    <w:multiLevelType w:val="hybridMultilevel"/>
    <w:tmpl w:val="6166148A"/>
    <w:lvl w:ilvl="0" w:tplc="39D86E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E4DC8"/>
    <w:multiLevelType w:val="hybridMultilevel"/>
    <w:tmpl w:val="6396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6AA8"/>
    <w:multiLevelType w:val="hybridMultilevel"/>
    <w:tmpl w:val="B24CBDBA"/>
    <w:lvl w:ilvl="0" w:tplc="E9FAC7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17D0B"/>
    <w:multiLevelType w:val="hybridMultilevel"/>
    <w:tmpl w:val="89446D88"/>
    <w:lvl w:ilvl="0" w:tplc="10A874C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2E0981"/>
    <w:multiLevelType w:val="multilevel"/>
    <w:tmpl w:val="A736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31A4C"/>
    <w:multiLevelType w:val="hybridMultilevel"/>
    <w:tmpl w:val="B5DAD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8588A"/>
    <w:multiLevelType w:val="hybridMultilevel"/>
    <w:tmpl w:val="4580A022"/>
    <w:lvl w:ilvl="0" w:tplc="EA1030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964470">
    <w:abstractNumId w:val="0"/>
  </w:num>
  <w:num w:numId="2" w16cid:durableId="1022777011">
    <w:abstractNumId w:val="1"/>
  </w:num>
  <w:num w:numId="3" w16cid:durableId="1633052398">
    <w:abstractNumId w:val="2"/>
  </w:num>
  <w:num w:numId="4" w16cid:durableId="1091927554">
    <w:abstractNumId w:val="17"/>
  </w:num>
  <w:num w:numId="5" w16cid:durableId="1291128119">
    <w:abstractNumId w:val="6"/>
  </w:num>
  <w:num w:numId="6" w16cid:durableId="1841040257">
    <w:abstractNumId w:val="10"/>
  </w:num>
  <w:num w:numId="7" w16cid:durableId="118501521">
    <w:abstractNumId w:val="11"/>
  </w:num>
  <w:num w:numId="8" w16cid:durableId="2070379979">
    <w:abstractNumId w:val="18"/>
  </w:num>
  <w:num w:numId="9" w16cid:durableId="206769033">
    <w:abstractNumId w:val="14"/>
  </w:num>
  <w:num w:numId="10" w16cid:durableId="1919248584">
    <w:abstractNumId w:val="15"/>
  </w:num>
  <w:num w:numId="11" w16cid:durableId="689530680">
    <w:abstractNumId w:val="4"/>
  </w:num>
  <w:num w:numId="12" w16cid:durableId="1043484411">
    <w:abstractNumId w:val="5"/>
  </w:num>
  <w:num w:numId="13" w16cid:durableId="1968201099">
    <w:abstractNumId w:val="12"/>
  </w:num>
  <w:num w:numId="14" w16cid:durableId="100536442">
    <w:abstractNumId w:val="7"/>
  </w:num>
  <w:num w:numId="15" w16cid:durableId="91047488">
    <w:abstractNumId w:val="13"/>
  </w:num>
  <w:num w:numId="16" w16cid:durableId="1804081566">
    <w:abstractNumId w:val="9"/>
  </w:num>
  <w:num w:numId="17" w16cid:durableId="943995396">
    <w:abstractNumId w:val="8"/>
  </w:num>
  <w:num w:numId="18" w16cid:durableId="1335911422">
    <w:abstractNumId w:val="16"/>
  </w:num>
  <w:num w:numId="19" w16cid:durableId="751128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FE"/>
    <w:rsid w:val="00001323"/>
    <w:rsid w:val="000065E0"/>
    <w:rsid w:val="000074C2"/>
    <w:rsid w:val="000133A6"/>
    <w:rsid w:val="00013AF1"/>
    <w:rsid w:val="00013C4A"/>
    <w:rsid w:val="00015EA4"/>
    <w:rsid w:val="00016862"/>
    <w:rsid w:val="000200EA"/>
    <w:rsid w:val="00020298"/>
    <w:rsid w:val="00021B99"/>
    <w:rsid w:val="00023C19"/>
    <w:rsid w:val="000339A5"/>
    <w:rsid w:val="00035C8A"/>
    <w:rsid w:val="000367D2"/>
    <w:rsid w:val="00037695"/>
    <w:rsid w:val="00037879"/>
    <w:rsid w:val="00043991"/>
    <w:rsid w:val="000507C2"/>
    <w:rsid w:val="000509FC"/>
    <w:rsid w:val="00050AF1"/>
    <w:rsid w:val="0005369A"/>
    <w:rsid w:val="0005744B"/>
    <w:rsid w:val="000607A2"/>
    <w:rsid w:val="00060991"/>
    <w:rsid w:val="00061613"/>
    <w:rsid w:val="00063C74"/>
    <w:rsid w:val="00064F0D"/>
    <w:rsid w:val="00065A96"/>
    <w:rsid w:val="00065F2A"/>
    <w:rsid w:val="000660F3"/>
    <w:rsid w:val="00067C0C"/>
    <w:rsid w:val="000701ED"/>
    <w:rsid w:val="000714BD"/>
    <w:rsid w:val="0007208E"/>
    <w:rsid w:val="0007306A"/>
    <w:rsid w:val="000754B0"/>
    <w:rsid w:val="00076299"/>
    <w:rsid w:val="000762F4"/>
    <w:rsid w:val="0008039B"/>
    <w:rsid w:val="0008069C"/>
    <w:rsid w:val="00081FCE"/>
    <w:rsid w:val="00082A48"/>
    <w:rsid w:val="000833BF"/>
    <w:rsid w:val="00083438"/>
    <w:rsid w:val="00083ABF"/>
    <w:rsid w:val="00087778"/>
    <w:rsid w:val="000927A5"/>
    <w:rsid w:val="000A00ED"/>
    <w:rsid w:val="000A3280"/>
    <w:rsid w:val="000A35AD"/>
    <w:rsid w:val="000A43DA"/>
    <w:rsid w:val="000A477C"/>
    <w:rsid w:val="000A4FDC"/>
    <w:rsid w:val="000A7A56"/>
    <w:rsid w:val="000B27EE"/>
    <w:rsid w:val="000B63E9"/>
    <w:rsid w:val="000C101E"/>
    <w:rsid w:val="000C256B"/>
    <w:rsid w:val="000D1549"/>
    <w:rsid w:val="000D17BD"/>
    <w:rsid w:val="000D2686"/>
    <w:rsid w:val="000D479A"/>
    <w:rsid w:val="000D763E"/>
    <w:rsid w:val="000F01DF"/>
    <w:rsid w:val="000F19E8"/>
    <w:rsid w:val="000F3196"/>
    <w:rsid w:val="000F34F7"/>
    <w:rsid w:val="000F4353"/>
    <w:rsid w:val="000F4AC2"/>
    <w:rsid w:val="000F664C"/>
    <w:rsid w:val="000F72B3"/>
    <w:rsid w:val="001049B7"/>
    <w:rsid w:val="001055D9"/>
    <w:rsid w:val="00105EA2"/>
    <w:rsid w:val="001112E1"/>
    <w:rsid w:val="0011284F"/>
    <w:rsid w:val="00112F97"/>
    <w:rsid w:val="001132EC"/>
    <w:rsid w:val="00113345"/>
    <w:rsid w:val="00120F87"/>
    <w:rsid w:val="00121A00"/>
    <w:rsid w:val="00126F45"/>
    <w:rsid w:val="0012708A"/>
    <w:rsid w:val="0013107C"/>
    <w:rsid w:val="00132568"/>
    <w:rsid w:val="001338CF"/>
    <w:rsid w:val="00134796"/>
    <w:rsid w:val="001421B2"/>
    <w:rsid w:val="00142E08"/>
    <w:rsid w:val="001445D8"/>
    <w:rsid w:val="001449A7"/>
    <w:rsid w:val="001451ED"/>
    <w:rsid w:val="001467A9"/>
    <w:rsid w:val="001519BC"/>
    <w:rsid w:val="0015441A"/>
    <w:rsid w:val="0015486C"/>
    <w:rsid w:val="001555DE"/>
    <w:rsid w:val="0015579D"/>
    <w:rsid w:val="00156B88"/>
    <w:rsid w:val="00163E31"/>
    <w:rsid w:val="00174BBF"/>
    <w:rsid w:val="00175EAD"/>
    <w:rsid w:val="00180AB9"/>
    <w:rsid w:val="00180FCE"/>
    <w:rsid w:val="00186D7B"/>
    <w:rsid w:val="00187556"/>
    <w:rsid w:val="00192047"/>
    <w:rsid w:val="0019393A"/>
    <w:rsid w:val="00196981"/>
    <w:rsid w:val="00197C10"/>
    <w:rsid w:val="001A05E3"/>
    <w:rsid w:val="001A09C8"/>
    <w:rsid w:val="001A47B7"/>
    <w:rsid w:val="001B0716"/>
    <w:rsid w:val="001B5FC9"/>
    <w:rsid w:val="001C34FF"/>
    <w:rsid w:val="001C35CC"/>
    <w:rsid w:val="001C43CC"/>
    <w:rsid w:val="001C514F"/>
    <w:rsid w:val="001D1521"/>
    <w:rsid w:val="001D17AB"/>
    <w:rsid w:val="001D5A6F"/>
    <w:rsid w:val="001D7A17"/>
    <w:rsid w:val="001E2038"/>
    <w:rsid w:val="001E3ED1"/>
    <w:rsid w:val="001E4C09"/>
    <w:rsid w:val="001E71AA"/>
    <w:rsid w:val="001F10FB"/>
    <w:rsid w:val="001F205A"/>
    <w:rsid w:val="001F2513"/>
    <w:rsid w:val="001F5215"/>
    <w:rsid w:val="00200286"/>
    <w:rsid w:val="00201E17"/>
    <w:rsid w:val="00201FBA"/>
    <w:rsid w:val="00205C1F"/>
    <w:rsid w:val="00207301"/>
    <w:rsid w:val="002157A5"/>
    <w:rsid w:val="002214FA"/>
    <w:rsid w:val="002324F1"/>
    <w:rsid w:val="00232683"/>
    <w:rsid w:val="002338DF"/>
    <w:rsid w:val="002408FB"/>
    <w:rsid w:val="002470A5"/>
    <w:rsid w:val="002512EA"/>
    <w:rsid w:val="002519DE"/>
    <w:rsid w:val="002519E5"/>
    <w:rsid w:val="00256C58"/>
    <w:rsid w:val="00264F31"/>
    <w:rsid w:val="002747CB"/>
    <w:rsid w:val="00275AB5"/>
    <w:rsid w:val="00275B49"/>
    <w:rsid w:val="00282E8C"/>
    <w:rsid w:val="00285774"/>
    <w:rsid w:val="002933EC"/>
    <w:rsid w:val="002938E9"/>
    <w:rsid w:val="00295428"/>
    <w:rsid w:val="002973EE"/>
    <w:rsid w:val="002A1FA2"/>
    <w:rsid w:val="002A203A"/>
    <w:rsid w:val="002A25C3"/>
    <w:rsid w:val="002A317F"/>
    <w:rsid w:val="002A53FD"/>
    <w:rsid w:val="002A7875"/>
    <w:rsid w:val="002B118C"/>
    <w:rsid w:val="002B13B0"/>
    <w:rsid w:val="002B3817"/>
    <w:rsid w:val="002B59CD"/>
    <w:rsid w:val="002B7794"/>
    <w:rsid w:val="002C2D77"/>
    <w:rsid w:val="002C5B81"/>
    <w:rsid w:val="002C7778"/>
    <w:rsid w:val="002D1F4A"/>
    <w:rsid w:val="002D212F"/>
    <w:rsid w:val="002D3A1F"/>
    <w:rsid w:val="002D6BF7"/>
    <w:rsid w:val="002E1FCB"/>
    <w:rsid w:val="002E4435"/>
    <w:rsid w:val="002E5AA8"/>
    <w:rsid w:val="002E615D"/>
    <w:rsid w:val="002E6396"/>
    <w:rsid w:val="002F0D86"/>
    <w:rsid w:val="002F34A1"/>
    <w:rsid w:val="002F5E30"/>
    <w:rsid w:val="002F6497"/>
    <w:rsid w:val="002F7ECD"/>
    <w:rsid w:val="0030033C"/>
    <w:rsid w:val="00300D06"/>
    <w:rsid w:val="00301B3E"/>
    <w:rsid w:val="003040D5"/>
    <w:rsid w:val="00305B45"/>
    <w:rsid w:val="00306E8E"/>
    <w:rsid w:val="0031558B"/>
    <w:rsid w:val="003158B2"/>
    <w:rsid w:val="00320DE2"/>
    <w:rsid w:val="0033056F"/>
    <w:rsid w:val="00330A9A"/>
    <w:rsid w:val="003312D4"/>
    <w:rsid w:val="00331660"/>
    <w:rsid w:val="00331662"/>
    <w:rsid w:val="003317ED"/>
    <w:rsid w:val="003325A6"/>
    <w:rsid w:val="00334120"/>
    <w:rsid w:val="00337F38"/>
    <w:rsid w:val="0034046B"/>
    <w:rsid w:val="00344366"/>
    <w:rsid w:val="00344D42"/>
    <w:rsid w:val="00346AE1"/>
    <w:rsid w:val="0034748A"/>
    <w:rsid w:val="00357BB6"/>
    <w:rsid w:val="00360173"/>
    <w:rsid w:val="00360873"/>
    <w:rsid w:val="0036097D"/>
    <w:rsid w:val="0036419F"/>
    <w:rsid w:val="003726E4"/>
    <w:rsid w:val="0037379C"/>
    <w:rsid w:val="00374431"/>
    <w:rsid w:val="00374FDC"/>
    <w:rsid w:val="003763E1"/>
    <w:rsid w:val="00381417"/>
    <w:rsid w:val="00381812"/>
    <w:rsid w:val="00386CD1"/>
    <w:rsid w:val="00387754"/>
    <w:rsid w:val="0039099B"/>
    <w:rsid w:val="003914CC"/>
    <w:rsid w:val="00391722"/>
    <w:rsid w:val="00393CA7"/>
    <w:rsid w:val="003953F1"/>
    <w:rsid w:val="00397FA4"/>
    <w:rsid w:val="003A346B"/>
    <w:rsid w:val="003A4A3D"/>
    <w:rsid w:val="003A53AB"/>
    <w:rsid w:val="003C1572"/>
    <w:rsid w:val="003C64B4"/>
    <w:rsid w:val="003D1BC8"/>
    <w:rsid w:val="003D22B6"/>
    <w:rsid w:val="003D3362"/>
    <w:rsid w:val="003D377A"/>
    <w:rsid w:val="003D41E9"/>
    <w:rsid w:val="003D4314"/>
    <w:rsid w:val="003D5E1F"/>
    <w:rsid w:val="003D7528"/>
    <w:rsid w:val="003E7A65"/>
    <w:rsid w:val="003F1017"/>
    <w:rsid w:val="003F2E6C"/>
    <w:rsid w:val="003F4E1E"/>
    <w:rsid w:val="003F70E0"/>
    <w:rsid w:val="00400670"/>
    <w:rsid w:val="00403E74"/>
    <w:rsid w:val="00404F15"/>
    <w:rsid w:val="0040770B"/>
    <w:rsid w:val="0041254A"/>
    <w:rsid w:val="004145A2"/>
    <w:rsid w:val="00414CE5"/>
    <w:rsid w:val="00415968"/>
    <w:rsid w:val="00416CC8"/>
    <w:rsid w:val="004174FB"/>
    <w:rsid w:val="004203C9"/>
    <w:rsid w:val="00421E1B"/>
    <w:rsid w:val="004336EE"/>
    <w:rsid w:val="004340BE"/>
    <w:rsid w:val="00436465"/>
    <w:rsid w:val="00436B13"/>
    <w:rsid w:val="00441860"/>
    <w:rsid w:val="00441ECD"/>
    <w:rsid w:val="00446AE3"/>
    <w:rsid w:val="004519CC"/>
    <w:rsid w:val="00452F22"/>
    <w:rsid w:val="00455944"/>
    <w:rsid w:val="004600C8"/>
    <w:rsid w:val="00464A74"/>
    <w:rsid w:val="00473126"/>
    <w:rsid w:val="00474F80"/>
    <w:rsid w:val="00480BF8"/>
    <w:rsid w:val="00484076"/>
    <w:rsid w:val="00484D8F"/>
    <w:rsid w:val="00485028"/>
    <w:rsid w:val="004854BE"/>
    <w:rsid w:val="00486323"/>
    <w:rsid w:val="004866E5"/>
    <w:rsid w:val="0048748A"/>
    <w:rsid w:val="00492F99"/>
    <w:rsid w:val="004940BA"/>
    <w:rsid w:val="004943FA"/>
    <w:rsid w:val="00494780"/>
    <w:rsid w:val="00495C96"/>
    <w:rsid w:val="004968D5"/>
    <w:rsid w:val="00496C52"/>
    <w:rsid w:val="004A45F7"/>
    <w:rsid w:val="004A7333"/>
    <w:rsid w:val="004B0F2A"/>
    <w:rsid w:val="004B23EF"/>
    <w:rsid w:val="004B5C76"/>
    <w:rsid w:val="004B65C4"/>
    <w:rsid w:val="004C10A2"/>
    <w:rsid w:val="004C48FB"/>
    <w:rsid w:val="004C5B8E"/>
    <w:rsid w:val="004D0AA4"/>
    <w:rsid w:val="004D2EAC"/>
    <w:rsid w:val="004D2F90"/>
    <w:rsid w:val="004D328C"/>
    <w:rsid w:val="004D3F4F"/>
    <w:rsid w:val="004D41D8"/>
    <w:rsid w:val="004D43BA"/>
    <w:rsid w:val="004E28C5"/>
    <w:rsid w:val="004E2F57"/>
    <w:rsid w:val="004E420F"/>
    <w:rsid w:val="004F4F4D"/>
    <w:rsid w:val="004F5206"/>
    <w:rsid w:val="004F5C22"/>
    <w:rsid w:val="004F61F7"/>
    <w:rsid w:val="004F7926"/>
    <w:rsid w:val="00502BEF"/>
    <w:rsid w:val="00503F0D"/>
    <w:rsid w:val="005066B1"/>
    <w:rsid w:val="00510A5F"/>
    <w:rsid w:val="005111B1"/>
    <w:rsid w:val="005127AA"/>
    <w:rsid w:val="00513195"/>
    <w:rsid w:val="0051681D"/>
    <w:rsid w:val="00522CCE"/>
    <w:rsid w:val="005239B1"/>
    <w:rsid w:val="00530A03"/>
    <w:rsid w:val="005316F3"/>
    <w:rsid w:val="00534046"/>
    <w:rsid w:val="005408BF"/>
    <w:rsid w:val="00541E84"/>
    <w:rsid w:val="0054301E"/>
    <w:rsid w:val="00550135"/>
    <w:rsid w:val="0055017B"/>
    <w:rsid w:val="00550FED"/>
    <w:rsid w:val="00552731"/>
    <w:rsid w:val="00552A4D"/>
    <w:rsid w:val="00555FD8"/>
    <w:rsid w:val="00556D34"/>
    <w:rsid w:val="00556EDC"/>
    <w:rsid w:val="00557187"/>
    <w:rsid w:val="005603C8"/>
    <w:rsid w:val="005610EC"/>
    <w:rsid w:val="005616B1"/>
    <w:rsid w:val="00561ED5"/>
    <w:rsid w:val="00561ED9"/>
    <w:rsid w:val="0056219E"/>
    <w:rsid w:val="00564701"/>
    <w:rsid w:val="0056662D"/>
    <w:rsid w:val="005704E0"/>
    <w:rsid w:val="00571F75"/>
    <w:rsid w:val="0057337D"/>
    <w:rsid w:val="00577030"/>
    <w:rsid w:val="00580A12"/>
    <w:rsid w:val="00586A52"/>
    <w:rsid w:val="0058715D"/>
    <w:rsid w:val="00591132"/>
    <w:rsid w:val="005911EF"/>
    <w:rsid w:val="00591D45"/>
    <w:rsid w:val="0059353F"/>
    <w:rsid w:val="00593668"/>
    <w:rsid w:val="00594D19"/>
    <w:rsid w:val="00595841"/>
    <w:rsid w:val="0059587E"/>
    <w:rsid w:val="005960F0"/>
    <w:rsid w:val="005A0143"/>
    <w:rsid w:val="005A0B0E"/>
    <w:rsid w:val="005A1370"/>
    <w:rsid w:val="005A2037"/>
    <w:rsid w:val="005A4214"/>
    <w:rsid w:val="005A495E"/>
    <w:rsid w:val="005A50A0"/>
    <w:rsid w:val="005A772B"/>
    <w:rsid w:val="005B2E41"/>
    <w:rsid w:val="005B35B2"/>
    <w:rsid w:val="005B60FA"/>
    <w:rsid w:val="005C4C4C"/>
    <w:rsid w:val="005D53CD"/>
    <w:rsid w:val="005E1E87"/>
    <w:rsid w:val="005E1ED5"/>
    <w:rsid w:val="005E3159"/>
    <w:rsid w:val="005E6A39"/>
    <w:rsid w:val="005E6DCF"/>
    <w:rsid w:val="005F2EBE"/>
    <w:rsid w:val="005F34C9"/>
    <w:rsid w:val="005F4B44"/>
    <w:rsid w:val="005F52CB"/>
    <w:rsid w:val="0060168D"/>
    <w:rsid w:val="00602202"/>
    <w:rsid w:val="00604666"/>
    <w:rsid w:val="00610BE6"/>
    <w:rsid w:val="00613B7D"/>
    <w:rsid w:val="006148DE"/>
    <w:rsid w:val="006148EB"/>
    <w:rsid w:val="0062033F"/>
    <w:rsid w:val="006312A1"/>
    <w:rsid w:val="00633576"/>
    <w:rsid w:val="00634476"/>
    <w:rsid w:val="00634CA2"/>
    <w:rsid w:val="006359CF"/>
    <w:rsid w:val="00641CF5"/>
    <w:rsid w:val="00644D3B"/>
    <w:rsid w:val="00646A50"/>
    <w:rsid w:val="0065103D"/>
    <w:rsid w:val="006543B5"/>
    <w:rsid w:val="006545C1"/>
    <w:rsid w:val="00656C8D"/>
    <w:rsid w:val="00656CD0"/>
    <w:rsid w:val="00656D51"/>
    <w:rsid w:val="00660AA6"/>
    <w:rsid w:val="006612AB"/>
    <w:rsid w:val="00663FC0"/>
    <w:rsid w:val="00665340"/>
    <w:rsid w:val="0066770B"/>
    <w:rsid w:val="00670620"/>
    <w:rsid w:val="00671992"/>
    <w:rsid w:val="006755A3"/>
    <w:rsid w:val="0068086D"/>
    <w:rsid w:val="006863A1"/>
    <w:rsid w:val="006863FC"/>
    <w:rsid w:val="00687492"/>
    <w:rsid w:val="00692EAA"/>
    <w:rsid w:val="00695723"/>
    <w:rsid w:val="00697655"/>
    <w:rsid w:val="006A1331"/>
    <w:rsid w:val="006A21C5"/>
    <w:rsid w:val="006A2D8B"/>
    <w:rsid w:val="006A2F1E"/>
    <w:rsid w:val="006A43C0"/>
    <w:rsid w:val="006A5599"/>
    <w:rsid w:val="006A77F9"/>
    <w:rsid w:val="006B46E9"/>
    <w:rsid w:val="006C0B67"/>
    <w:rsid w:val="006C22DB"/>
    <w:rsid w:val="006C58E3"/>
    <w:rsid w:val="006C5A60"/>
    <w:rsid w:val="006C755B"/>
    <w:rsid w:val="006C7901"/>
    <w:rsid w:val="006D190B"/>
    <w:rsid w:val="006D21C7"/>
    <w:rsid w:val="006D3FE1"/>
    <w:rsid w:val="006E061C"/>
    <w:rsid w:val="006E0F0E"/>
    <w:rsid w:val="006E20F5"/>
    <w:rsid w:val="006E584C"/>
    <w:rsid w:val="006E6E46"/>
    <w:rsid w:val="006F5C80"/>
    <w:rsid w:val="00701D25"/>
    <w:rsid w:val="007102A1"/>
    <w:rsid w:val="00710AA4"/>
    <w:rsid w:val="00712918"/>
    <w:rsid w:val="00722880"/>
    <w:rsid w:val="0072438C"/>
    <w:rsid w:val="00724649"/>
    <w:rsid w:val="0072542D"/>
    <w:rsid w:val="007321ED"/>
    <w:rsid w:val="0073626F"/>
    <w:rsid w:val="00750EDB"/>
    <w:rsid w:val="0075554F"/>
    <w:rsid w:val="0075702A"/>
    <w:rsid w:val="007609BD"/>
    <w:rsid w:val="00762B8E"/>
    <w:rsid w:val="00765A89"/>
    <w:rsid w:val="00766992"/>
    <w:rsid w:val="00767AC6"/>
    <w:rsid w:val="007766D7"/>
    <w:rsid w:val="00777172"/>
    <w:rsid w:val="00777305"/>
    <w:rsid w:val="00784B3D"/>
    <w:rsid w:val="0078629F"/>
    <w:rsid w:val="0078696A"/>
    <w:rsid w:val="00787039"/>
    <w:rsid w:val="00790DBD"/>
    <w:rsid w:val="00791D1E"/>
    <w:rsid w:val="007930E0"/>
    <w:rsid w:val="00793107"/>
    <w:rsid w:val="007A3CEA"/>
    <w:rsid w:val="007A63DE"/>
    <w:rsid w:val="007B02E2"/>
    <w:rsid w:val="007B2E13"/>
    <w:rsid w:val="007B59E1"/>
    <w:rsid w:val="007C399B"/>
    <w:rsid w:val="007C4A67"/>
    <w:rsid w:val="007C4D99"/>
    <w:rsid w:val="007C5903"/>
    <w:rsid w:val="007D03E8"/>
    <w:rsid w:val="007D16BB"/>
    <w:rsid w:val="007D5BE9"/>
    <w:rsid w:val="007D69E3"/>
    <w:rsid w:val="007E620D"/>
    <w:rsid w:val="007E778E"/>
    <w:rsid w:val="007F10C7"/>
    <w:rsid w:val="007F3AD3"/>
    <w:rsid w:val="00801206"/>
    <w:rsid w:val="00801A14"/>
    <w:rsid w:val="00802FCB"/>
    <w:rsid w:val="00805012"/>
    <w:rsid w:val="00805D95"/>
    <w:rsid w:val="00807F01"/>
    <w:rsid w:val="0081047D"/>
    <w:rsid w:val="008162BA"/>
    <w:rsid w:val="00816A0D"/>
    <w:rsid w:val="0082354B"/>
    <w:rsid w:val="00825111"/>
    <w:rsid w:val="00825393"/>
    <w:rsid w:val="00831551"/>
    <w:rsid w:val="00834BBB"/>
    <w:rsid w:val="0083617A"/>
    <w:rsid w:val="00837E16"/>
    <w:rsid w:val="00843FE1"/>
    <w:rsid w:val="00845D4F"/>
    <w:rsid w:val="00847778"/>
    <w:rsid w:val="008511AC"/>
    <w:rsid w:val="00851D4A"/>
    <w:rsid w:val="00853B1D"/>
    <w:rsid w:val="0085424A"/>
    <w:rsid w:val="008575F4"/>
    <w:rsid w:val="00861697"/>
    <w:rsid w:val="00863DC1"/>
    <w:rsid w:val="0086687A"/>
    <w:rsid w:val="008706FB"/>
    <w:rsid w:val="00871291"/>
    <w:rsid w:val="00877B28"/>
    <w:rsid w:val="00883E4B"/>
    <w:rsid w:val="0088534A"/>
    <w:rsid w:val="00890914"/>
    <w:rsid w:val="008909D8"/>
    <w:rsid w:val="0089190C"/>
    <w:rsid w:val="008945A5"/>
    <w:rsid w:val="0089684F"/>
    <w:rsid w:val="00897659"/>
    <w:rsid w:val="00897F6A"/>
    <w:rsid w:val="008A0B0E"/>
    <w:rsid w:val="008A1188"/>
    <w:rsid w:val="008A30E5"/>
    <w:rsid w:val="008A5195"/>
    <w:rsid w:val="008A6AB4"/>
    <w:rsid w:val="008A70A3"/>
    <w:rsid w:val="008A7EB8"/>
    <w:rsid w:val="008B2243"/>
    <w:rsid w:val="008B2287"/>
    <w:rsid w:val="008B2821"/>
    <w:rsid w:val="008B52F0"/>
    <w:rsid w:val="008B55D9"/>
    <w:rsid w:val="008B77E1"/>
    <w:rsid w:val="008C04CE"/>
    <w:rsid w:val="008C2719"/>
    <w:rsid w:val="008C382D"/>
    <w:rsid w:val="008C6D46"/>
    <w:rsid w:val="008D3ECF"/>
    <w:rsid w:val="008D4872"/>
    <w:rsid w:val="008E0DF5"/>
    <w:rsid w:val="008E3062"/>
    <w:rsid w:val="008E38A8"/>
    <w:rsid w:val="008E5D5D"/>
    <w:rsid w:val="008E5E4C"/>
    <w:rsid w:val="008F2E97"/>
    <w:rsid w:val="008F31F0"/>
    <w:rsid w:val="0090101D"/>
    <w:rsid w:val="00901990"/>
    <w:rsid w:val="00903B24"/>
    <w:rsid w:val="0090549E"/>
    <w:rsid w:val="00905F77"/>
    <w:rsid w:val="00910519"/>
    <w:rsid w:val="00910F7E"/>
    <w:rsid w:val="009135CF"/>
    <w:rsid w:val="00915614"/>
    <w:rsid w:val="00915CF4"/>
    <w:rsid w:val="00916452"/>
    <w:rsid w:val="00924EDB"/>
    <w:rsid w:val="00925ABF"/>
    <w:rsid w:val="0092710B"/>
    <w:rsid w:val="0093021E"/>
    <w:rsid w:val="009337A1"/>
    <w:rsid w:val="009366FC"/>
    <w:rsid w:val="0094081F"/>
    <w:rsid w:val="00941ECD"/>
    <w:rsid w:val="009464A9"/>
    <w:rsid w:val="00954017"/>
    <w:rsid w:val="00956F5F"/>
    <w:rsid w:val="00961277"/>
    <w:rsid w:val="00961664"/>
    <w:rsid w:val="00965B8C"/>
    <w:rsid w:val="00966FA9"/>
    <w:rsid w:val="009677EE"/>
    <w:rsid w:val="009702A3"/>
    <w:rsid w:val="00971017"/>
    <w:rsid w:val="00971A9A"/>
    <w:rsid w:val="00972A87"/>
    <w:rsid w:val="009738E0"/>
    <w:rsid w:val="00976336"/>
    <w:rsid w:val="009856E6"/>
    <w:rsid w:val="00990092"/>
    <w:rsid w:val="0099009A"/>
    <w:rsid w:val="009916D3"/>
    <w:rsid w:val="0099241D"/>
    <w:rsid w:val="0099377D"/>
    <w:rsid w:val="00996309"/>
    <w:rsid w:val="0099788B"/>
    <w:rsid w:val="009A2545"/>
    <w:rsid w:val="009A3115"/>
    <w:rsid w:val="009A5CEE"/>
    <w:rsid w:val="009A69CB"/>
    <w:rsid w:val="009A7F39"/>
    <w:rsid w:val="009B107B"/>
    <w:rsid w:val="009B2DEC"/>
    <w:rsid w:val="009B349E"/>
    <w:rsid w:val="009B551D"/>
    <w:rsid w:val="009B5B88"/>
    <w:rsid w:val="009C0170"/>
    <w:rsid w:val="009C1588"/>
    <w:rsid w:val="009C79D9"/>
    <w:rsid w:val="009D383B"/>
    <w:rsid w:val="009D4BF4"/>
    <w:rsid w:val="009D4EBA"/>
    <w:rsid w:val="009D587A"/>
    <w:rsid w:val="009D7B79"/>
    <w:rsid w:val="009E4552"/>
    <w:rsid w:val="009E5A85"/>
    <w:rsid w:val="009F0BFE"/>
    <w:rsid w:val="009F10DF"/>
    <w:rsid w:val="009F4199"/>
    <w:rsid w:val="009F4254"/>
    <w:rsid w:val="009F4F34"/>
    <w:rsid w:val="009F5914"/>
    <w:rsid w:val="00A0165C"/>
    <w:rsid w:val="00A024CA"/>
    <w:rsid w:val="00A0341D"/>
    <w:rsid w:val="00A05FD3"/>
    <w:rsid w:val="00A10513"/>
    <w:rsid w:val="00A130DF"/>
    <w:rsid w:val="00A13E05"/>
    <w:rsid w:val="00A14DC2"/>
    <w:rsid w:val="00A1772C"/>
    <w:rsid w:val="00A17C3F"/>
    <w:rsid w:val="00A2275B"/>
    <w:rsid w:val="00A26A19"/>
    <w:rsid w:val="00A26D16"/>
    <w:rsid w:val="00A31466"/>
    <w:rsid w:val="00A31FCE"/>
    <w:rsid w:val="00A36FDE"/>
    <w:rsid w:val="00A37D37"/>
    <w:rsid w:val="00A41821"/>
    <w:rsid w:val="00A41EC4"/>
    <w:rsid w:val="00A46A73"/>
    <w:rsid w:val="00A501D7"/>
    <w:rsid w:val="00A519B5"/>
    <w:rsid w:val="00A52967"/>
    <w:rsid w:val="00A63F5C"/>
    <w:rsid w:val="00A65CB7"/>
    <w:rsid w:val="00A6762B"/>
    <w:rsid w:val="00A6782F"/>
    <w:rsid w:val="00A74C80"/>
    <w:rsid w:val="00A75838"/>
    <w:rsid w:val="00A8094A"/>
    <w:rsid w:val="00A81850"/>
    <w:rsid w:val="00A84375"/>
    <w:rsid w:val="00A8456E"/>
    <w:rsid w:val="00A86CB2"/>
    <w:rsid w:val="00A86F21"/>
    <w:rsid w:val="00A878A2"/>
    <w:rsid w:val="00A902DE"/>
    <w:rsid w:val="00A938C1"/>
    <w:rsid w:val="00A94D66"/>
    <w:rsid w:val="00A94D68"/>
    <w:rsid w:val="00AA1196"/>
    <w:rsid w:val="00AA2526"/>
    <w:rsid w:val="00AB13FF"/>
    <w:rsid w:val="00AB3BBE"/>
    <w:rsid w:val="00AB63E2"/>
    <w:rsid w:val="00AC2BDC"/>
    <w:rsid w:val="00AD6ADD"/>
    <w:rsid w:val="00AD7581"/>
    <w:rsid w:val="00AE030E"/>
    <w:rsid w:val="00AE2421"/>
    <w:rsid w:val="00AE52FF"/>
    <w:rsid w:val="00AE5B29"/>
    <w:rsid w:val="00AE6187"/>
    <w:rsid w:val="00AF115C"/>
    <w:rsid w:val="00AF4D16"/>
    <w:rsid w:val="00B06529"/>
    <w:rsid w:val="00B10C06"/>
    <w:rsid w:val="00B11518"/>
    <w:rsid w:val="00B2235F"/>
    <w:rsid w:val="00B23565"/>
    <w:rsid w:val="00B235D6"/>
    <w:rsid w:val="00B264B3"/>
    <w:rsid w:val="00B3591E"/>
    <w:rsid w:val="00B36A7C"/>
    <w:rsid w:val="00B41252"/>
    <w:rsid w:val="00B44A7B"/>
    <w:rsid w:val="00B46DB0"/>
    <w:rsid w:val="00B473A2"/>
    <w:rsid w:val="00B53520"/>
    <w:rsid w:val="00B53D37"/>
    <w:rsid w:val="00B5787B"/>
    <w:rsid w:val="00B62570"/>
    <w:rsid w:val="00B62AEF"/>
    <w:rsid w:val="00B64486"/>
    <w:rsid w:val="00B670B8"/>
    <w:rsid w:val="00B672F7"/>
    <w:rsid w:val="00B67385"/>
    <w:rsid w:val="00B71BC4"/>
    <w:rsid w:val="00B73758"/>
    <w:rsid w:val="00B74C11"/>
    <w:rsid w:val="00B74F8C"/>
    <w:rsid w:val="00B835DA"/>
    <w:rsid w:val="00B83B8C"/>
    <w:rsid w:val="00B83FBC"/>
    <w:rsid w:val="00B843DE"/>
    <w:rsid w:val="00B84C47"/>
    <w:rsid w:val="00B8600A"/>
    <w:rsid w:val="00B86E31"/>
    <w:rsid w:val="00B87944"/>
    <w:rsid w:val="00B90B81"/>
    <w:rsid w:val="00B90EC8"/>
    <w:rsid w:val="00B918AE"/>
    <w:rsid w:val="00B95A6C"/>
    <w:rsid w:val="00B97405"/>
    <w:rsid w:val="00B97D59"/>
    <w:rsid w:val="00BA390E"/>
    <w:rsid w:val="00BC1B66"/>
    <w:rsid w:val="00BC431B"/>
    <w:rsid w:val="00BC48B3"/>
    <w:rsid w:val="00BC6CE0"/>
    <w:rsid w:val="00BD2691"/>
    <w:rsid w:val="00BD6279"/>
    <w:rsid w:val="00BE1232"/>
    <w:rsid w:val="00BE7916"/>
    <w:rsid w:val="00BF1096"/>
    <w:rsid w:val="00BF2FBC"/>
    <w:rsid w:val="00BF3FB4"/>
    <w:rsid w:val="00BF616F"/>
    <w:rsid w:val="00BF626C"/>
    <w:rsid w:val="00C0110D"/>
    <w:rsid w:val="00C023A7"/>
    <w:rsid w:val="00C1047F"/>
    <w:rsid w:val="00C12179"/>
    <w:rsid w:val="00C129CF"/>
    <w:rsid w:val="00C21866"/>
    <w:rsid w:val="00C25981"/>
    <w:rsid w:val="00C2645B"/>
    <w:rsid w:val="00C30DD6"/>
    <w:rsid w:val="00C317D0"/>
    <w:rsid w:val="00C3561D"/>
    <w:rsid w:val="00C35935"/>
    <w:rsid w:val="00C35BFF"/>
    <w:rsid w:val="00C37184"/>
    <w:rsid w:val="00C40576"/>
    <w:rsid w:val="00C4073D"/>
    <w:rsid w:val="00C43ED7"/>
    <w:rsid w:val="00C45895"/>
    <w:rsid w:val="00C46B8C"/>
    <w:rsid w:val="00C4737D"/>
    <w:rsid w:val="00C500A6"/>
    <w:rsid w:val="00C57240"/>
    <w:rsid w:val="00C6128B"/>
    <w:rsid w:val="00C62251"/>
    <w:rsid w:val="00C6431C"/>
    <w:rsid w:val="00C67177"/>
    <w:rsid w:val="00C67719"/>
    <w:rsid w:val="00C67A44"/>
    <w:rsid w:val="00C7079A"/>
    <w:rsid w:val="00C772C3"/>
    <w:rsid w:val="00C82CBD"/>
    <w:rsid w:val="00C837C7"/>
    <w:rsid w:val="00C94966"/>
    <w:rsid w:val="00CA1FB2"/>
    <w:rsid w:val="00CA3B93"/>
    <w:rsid w:val="00CB12C5"/>
    <w:rsid w:val="00CB3AB9"/>
    <w:rsid w:val="00CB441A"/>
    <w:rsid w:val="00CB6340"/>
    <w:rsid w:val="00CC31F6"/>
    <w:rsid w:val="00CC4362"/>
    <w:rsid w:val="00CC4619"/>
    <w:rsid w:val="00CC52D3"/>
    <w:rsid w:val="00CC5447"/>
    <w:rsid w:val="00CC789F"/>
    <w:rsid w:val="00CD1064"/>
    <w:rsid w:val="00CD11AE"/>
    <w:rsid w:val="00CD3681"/>
    <w:rsid w:val="00CD3A4F"/>
    <w:rsid w:val="00CD4E78"/>
    <w:rsid w:val="00CD77F0"/>
    <w:rsid w:val="00CD7D3A"/>
    <w:rsid w:val="00CE135E"/>
    <w:rsid w:val="00CE1F7E"/>
    <w:rsid w:val="00CE31E3"/>
    <w:rsid w:val="00CE35FB"/>
    <w:rsid w:val="00CE3A4A"/>
    <w:rsid w:val="00CE4446"/>
    <w:rsid w:val="00CF2A86"/>
    <w:rsid w:val="00CF5C18"/>
    <w:rsid w:val="00D01CB3"/>
    <w:rsid w:val="00D02552"/>
    <w:rsid w:val="00D02ED9"/>
    <w:rsid w:val="00D0464B"/>
    <w:rsid w:val="00D05B04"/>
    <w:rsid w:val="00D07047"/>
    <w:rsid w:val="00D07535"/>
    <w:rsid w:val="00D111EE"/>
    <w:rsid w:val="00D15A65"/>
    <w:rsid w:val="00D1779A"/>
    <w:rsid w:val="00D20254"/>
    <w:rsid w:val="00D20FE7"/>
    <w:rsid w:val="00D216CB"/>
    <w:rsid w:val="00D2470D"/>
    <w:rsid w:val="00D253DB"/>
    <w:rsid w:val="00D25E25"/>
    <w:rsid w:val="00D270A9"/>
    <w:rsid w:val="00D27A6E"/>
    <w:rsid w:val="00D31F4F"/>
    <w:rsid w:val="00D325DF"/>
    <w:rsid w:val="00D3496E"/>
    <w:rsid w:val="00D35719"/>
    <w:rsid w:val="00D3669E"/>
    <w:rsid w:val="00D36FFA"/>
    <w:rsid w:val="00D37BC0"/>
    <w:rsid w:val="00D436A7"/>
    <w:rsid w:val="00D43EFE"/>
    <w:rsid w:val="00D459C1"/>
    <w:rsid w:val="00D501BF"/>
    <w:rsid w:val="00D52FE5"/>
    <w:rsid w:val="00D55014"/>
    <w:rsid w:val="00D618CC"/>
    <w:rsid w:val="00D6219D"/>
    <w:rsid w:val="00D65F57"/>
    <w:rsid w:val="00D73513"/>
    <w:rsid w:val="00D73DED"/>
    <w:rsid w:val="00D73F27"/>
    <w:rsid w:val="00D73FCB"/>
    <w:rsid w:val="00D7433E"/>
    <w:rsid w:val="00D7446A"/>
    <w:rsid w:val="00D746CF"/>
    <w:rsid w:val="00D74F4D"/>
    <w:rsid w:val="00D766AC"/>
    <w:rsid w:val="00D80A56"/>
    <w:rsid w:val="00D80B26"/>
    <w:rsid w:val="00D82000"/>
    <w:rsid w:val="00D83DAF"/>
    <w:rsid w:val="00D85A5A"/>
    <w:rsid w:val="00D9037C"/>
    <w:rsid w:val="00D93098"/>
    <w:rsid w:val="00D94D5D"/>
    <w:rsid w:val="00D9578C"/>
    <w:rsid w:val="00D96B1F"/>
    <w:rsid w:val="00DA08CA"/>
    <w:rsid w:val="00DA1397"/>
    <w:rsid w:val="00DA15C5"/>
    <w:rsid w:val="00DA181D"/>
    <w:rsid w:val="00DA2577"/>
    <w:rsid w:val="00DA2B0D"/>
    <w:rsid w:val="00DA32A8"/>
    <w:rsid w:val="00DA4AD9"/>
    <w:rsid w:val="00DB20FF"/>
    <w:rsid w:val="00DB7164"/>
    <w:rsid w:val="00DC42AE"/>
    <w:rsid w:val="00DC51B6"/>
    <w:rsid w:val="00DC5FBE"/>
    <w:rsid w:val="00DD6956"/>
    <w:rsid w:val="00DE487A"/>
    <w:rsid w:val="00DE5E5A"/>
    <w:rsid w:val="00DE740D"/>
    <w:rsid w:val="00DF20B9"/>
    <w:rsid w:val="00DF2CC3"/>
    <w:rsid w:val="00DF672C"/>
    <w:rsid w:val="00E06170"/>
    <w:rsid w:val="00E14426"/>
    <w:rsid w:val="00E16298"/>
    <w:rsid w:val="00E16CE8"/>
    <w:rsid w:val="00E17425"/>
    <w:rsid w:val="00E1765D"/>
    <w:rsid w:val="00E2060C"/>
    <w:rsid w:val="00E2360D"/>
    <w:rsid w:val="00E23AEA"/>
    <w:rsid w:val="00E26040"/>
    <w:rsid w:val="00E31137"/>
    <w:rsid w:val="00E35A23"/>
    <w:rsid w:val="00E4184F"/>
    <w:rsid w:val="00E41C58"/>
    <w:rsid w:val="00E4305B"/>
    <w:rsid w:val="00E43A01"/>
    <w:rsid w:val="00E43DF7"/>
    <w:rsid w:val="00E537BC"/>
    <w:rsid w:val="00E5674E"/>
    <w:rsid w:val="00E56B5C"/>
    <w:rsid w:val="00E62781"/>
    <w:rsid w:val="00E638C4"/>
    <w:rsid w:val="00E661A9"/>
    <w:rsid w:val="00E73528"/>
    <w:rsid w:val="00E74394"/>
    <w:rsid w:val="00E754C3"/>
    <w:rsid w:val="00E7780F"/>
    <w:rsid w:val="00E83C49"/>
    <w:rsid w:val="00E85E09"/>
    <w:rsid w:val="00E85F10"/>
    <w:rsid w:val="00E86177"/>
    <w:rsid w:val="00E86402"/>
    <w:rsid w:val="00E97F4B"/>
    <w:rsid w:val="00EA0791"/>
    <w:rsid w:val="00EA1F0D"/>
    <w:rsid w:val="00EA4010"/>
    <w:rsid w:val="00EA7900"/>
    <w:rsid w:val="00EB04F1"/>
    <w:rsid w:val="00EB062A"/>
    <w:rsid w:val="00EB13AA"/>
    <w:rsid w:val="00EB27B1"/>
    <w:rsid w:val="00EB2CBD"/>
    <w:rsid w:val="00EC08C3"/>
    <w:rsid w:val="00ED0677"/>
    <w:rsid w:val="00ED61F6"/>
    <w:rsid w:val="00EE2AE7"/>
    <w:rsid w:val="00EE3B04"/>
    <w:rsid w:val="00EE4FDB"/>
    <w:rsid w:val="00EE5253"/>
    <w:rsid w:val="00EE642B"/>
    <w:rsid w:val="00EF135F"/>
    <w:rsid w:val="00EF34D6"/>
    <w:rsid w:val="00EF6415"/>
    <w:rsid w:val="00EF731C"/>
    <w:rsid w:val="00F055D4"/>
    <w:rsid w:val="00F05848"/>
    <w:rsid w:val="00F0796D"/>
    <w:rsid w:val="00F10D2D"/>
    <w:rsid w:val="00F11972"/>
    <w:rsid w:val="00F12FAD"/>
    <w:rsid w:val="00F14869"/>
    <w:rsid w:val="00F1745A"/>
    <w:rsid w:val="00F228BD"/>
    <w:rsid w:val="00F2302E"/>
    <w:rsid w:val="00F2421B"/>
    <w:rsid w:val="00F27535"/>
    <w:rsid w:val="00F30640"/>
    <w:rsid w:val="00F30E9B"/>
    <w:rsid w:val="00F30FB1"/>
    <w:rsid w:val="00F328D7"/>
    <w:rsid w:val="00F413EB"/>
    <w:rsid w:val="00F41B62"/>
    <w:rsid w:val="00F43B0E"/>
    <w:rsid w:val="00F43E8C"/>
    <w:rsid w:val="00F456E8"/>
    <w:rsid w:val="00F4741A"/>
    <w:rsid w:val="00F52C84"/>
    <w:rsid w:val="00F548B7"/>
    <w:rsid w:val="00F553DB"/>
    <w:rsid w:val="00F555E2"/>
    <w:rsid w:val="00F56930"/>
    <w:rsid w:val="00F57056"/>
    <w:rsid w:val="00F57F18"/>
    <w:rsid w:val="00F67929"/>
    <w:rsid w:val="00F706C6"/>
    <w:rsid w:val="00F74522"/>
    <w:rsid w:val="00F75CC3"/>
    <w:rsid w:val="00F828DE"/>
    <w:rsid w:val="00F82E54"/>
    <w:rsid w:val="00F83801"/>
    <w:rsid w:val="00F919FB"/>
    <w:rsid w:val="00F9241E"/>
    <w:rsid w:val="00FA13A9"/>
    <w:rsid w:val="00FA7767"/>
    <w:rsid w:val="00FA7BC6"/>
    <w:rsid w:val="00FB171B"/>
    <w:rsid w:val="00FB4167"/>
    <w:rsid w:val="00FB583B"/>
    <w:rsid w:val="00FB5BF3"/>
    <w:rsid w:val="00FB6B36"/>
    <w:rsid w:val="00FC0C32"/>
    <w:rsid w:val="00FC239F"/>
    <w:rsid w:val="00FC35C0"/>
    <w:rsid w:val="00FC4906"/>
    <w:rsid w:val="00FC4EC4"/>
    <w:rsid w:val="00FC712F"/>
    <w:rsid w:val="00FD40BC"/>
    <w:rsid w:val="00FD45FF"/>
    <w:rsid w:val="00FD4864"/>
    <w:rsid w:val="00FD68DA"/>
    <w:rsid w:val="00FD7247"/>
    <w:rsid w:val="00FD7613"/>
    <w:rsid w:val="00FE0FC9"/>
    <w:rsid w:val="00FE396A"/>
    <w:rsid w:val="00FE61A9"/>
    <w:rsid w:val="00FE78D5"/>
    <w:rsid w:val="00FF11E1"/>
    <w:rsid w:val="00FF2A4E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C13D"/>
  <w15:chartTrackingRefBased/>
  <w15:docId w15:val="{3D17E453-4CA8-47F1-9BC8-1EBBB121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F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5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53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EFE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5E3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15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315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1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3159"/>
    <w:rPr>
      <w:rFonts w:ascii="Times New Roman" w:eastAsia="Times New Roman" w:hAnsi="Times New Roman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3159"/>
    <w:rPr>
      <w:b/>
      <w:bCs/>
      <w:sz w:val="20"/>
      <w:szCs w:val="20"/>
    </w:rPr>
  </w:style>
  <w:style w:type="paragraph" w:styleId="NoSpacing">
    <w:name w:val="No Spacing"/>
    <w:uiPriority w:val="1"/>
    <w:qFormat/>
    <w:rsid w:val="00F2753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F2753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275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59E1"/>
    <w:pPr>
      <w:ind w:left="720"/>
    </w:pPr>
  </w:style>
  <w:style w:type="paragraph" w:styleId="NormalWeb">
    <w:name w:val="Normal (Web)"/>
    <w:basedOn w:val="Normal"/>
    <w:uiPriority w:val="99"/>
    <w:unhideWhenUsed/>
    <w:rsid w:val="00F10D2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E35A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099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3909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99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909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MARIA\REALBULLAND\2024\MSFO_31_12_2024\&#1055;&#1086;&#1084;&#1086;&#1097;&#1085;&#1080;%20&#1089;&#1087;&#1088;&#1072;&#1074;&#1082;&#1080;%20&#1052;&#1057;&#1060;&#1054;%2031.12.2024\&#1056;&#1072;&#1079;&#1087;&#1088;&#1077;&#1076;&#1077;&#1083;&#1077;&#1085;&#1080;&#1077;%20&#1087;&#1086;%20&#1082;&#1072;&#1090;&#1077;&#1075;&#1086;&#1088;&#1080;&#1080;%2031.12.2024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MARIA\REALBULLAND\2024\MSFO_31_12_2024\&#1055;&#1086;&#1084;&#1086;&#1097;&#1085;&#1080;%20&#1089;&#1087;&#1088;&#1072;&#1074;&#1082;&#1080;%20&#1052;&#1057;&#1060;&#1054;%2031.12.2024\&#1056;&#1072;&#1079;&#1087;&#1088;&#1077;&#1076;&#1077;&#1083;&#1077;&#1085;&#1080;&#1077;%20&#1079;&#1077;&#1084;.%20&#1079;&#1077;&#1084;&#1080;%20&#1087;&#1086;%20&#1086;&#1073;&#1097;&#1080;&#1085;&#1080;%20&#1082;&#1072;&#1088;&#1090;&#1080;&#1085;&#1082;&#1072;_31.12.2024_,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MARIA\REALBULLAND\2024\MSFO_31_12_2024\&#1055;&#1086;&#1084;&#1086;&#1097;&#1085;&#1080;%20&#1089;&#1087;&#1088;&#1072;&#1074;&#1082;&#1080;%20&#1052;&#1057;&#1060;&#1054;%2031.12.2024\&#1056;&#1072;&#1079;&#1087;&#1088;&#1077;&#1076;&#1077;&#1083;&#1077;&#1085;&#1080;&#1077;%20&#1079;&#1077;&#1084;.%20&#1079;&#1077;&#1084;&#1080;%20&#1087;&#1086;%20&#1086;&#1073;&#1097;&#1080;&#1085;&#1080;%20&#1082;&#1072;&#1088;&#1090;&#1080;&#1085;&#1082;&#1072;_31.12.2024_,.xls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743472044433508"/>
          <c:y val="4.2553191489361701E-2"/>
          <c:w val="0.83493141906836466"/>
          <c:h val="0.7475020941531244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Sheet1!$A$5:$A$13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Sheet1!$B$5:$B$13</c:f>
              <c:numCache>
                <c:formatCode>0.000</c:formatCode>
                <c:ptCount val="9"/>
                <c:pt idx="1">
                  <c:v>7.6989999999999998</c:v>
                </c:pt>
                <c:pt idx="2">
                  <c:v>1757.20625</c:v>
                </c:pt>
                <c:pt idx="3">
                  <c:v>1475.6130000000003</c:v>
                </c:pt>
                <c:pt idx="4">
                  <c:v>493.67975000000007</c:v>
                </c:pt>
                <c:pt idx="5">
                  <c:v>695.65200000000027</c:v>
                </c:pt>
                <c:pt idx="6">
                  <c:v>252.69999999999993</c:v>
                </c:pt>
                <c:pt idx="7">
                  <c:v>371.41500000000002</c:v>
                </c:pt>
                <c:pt idx="8">
                  <c:v>135.61099999999999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E5-49BB-9C99-9EB6E747FC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axId val="530448336"/>
        <c:axId val="1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5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Sheet1!$A$5:$A$13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Sheet1!$C$5:$C$13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E5-49BB-9C99-9EB6E747FC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0448336"/>
        <c:axId val="1"/>
      </c:lineChart>
      <c:catAx>
        <c:axId val="5304483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bg-BG"/>
                  <a:t>категория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bg-BG"/>
                  <a:t>площ дка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0.00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304483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743472044433508"/>
          <c:y val="4.2553191489361701E-2"/>
          <c:w val="0.83493141906836466"/>
          <c:h val="0.7475020941531244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Sheet1!$A$5:$A$13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Sheet1!$B$5:$B$13</c:f>
              <c:numCache>
                <c:formatCode>0.000</c:formatCode>
                <c:ptCount val="9"/>
                <c:pt idx="1">
                  <c:v>7.6989999999999998</c:v>
                </c:pt>
                <c:pt idx="2">
                  <c:v>1757.20625</c:v>
                </c:pt>
                <c:pt idx="3">
                  <c:v>1475.6130000000003</c:v>
                </c:pt>
                <c:pt idx="4">
                  <c:v>493.67975000000007</c:v>
                </c:pt>
                <c:pt idx="5">
                  <c:v>695.65200000000027</c:v>
                </c:pt>
                <c:pt idx="6">
                  <c:v>252.69999999999993</c:v>
                </c:pt>
                <c:pt idx="7">
                  <c:v>371.41500000000002</c:v>
                </c:pt>
                <c:pt idx="8">
                  <c:v>135.61099999999999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15-49C3-BC30-8F8FAEE2CC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axId val="530448336"/>
        <c:axId val="1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5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Sheet1!$A$5:$A$13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Sheet1!$C$5:$C$13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115-49C3-BC30-8F8FAEE2CC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0448336"/>
        <c:axId val="1"/>
      </c:lineChart>
      <c:catAx>
        <c:axId val="5304483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bg-BG"/>
                  <a:t>категория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bg-BG"/>
                  <a:t>площ дка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0.00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304483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F8-4562-939D-4E4464B0A9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F8-4562-939D-4E4464B0A9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F8-4562-939D-4E4464B0A9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6F8-4562-939D-4E4464B0A9C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6F8-4562-939D-4E4464B0A9C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6F8-4562-939D-4E4464B0A9C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6F8-4562-939D-4E4464B0A9C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6F8-4562-939D-4E4464B0A9C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6F8-4562-939D-4E4464B0A9C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6F8-4562-939D-4E4464B0A9C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6F8-4562-939D-4E4464B0A9C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6F8-4562-939D-4E4464B0A9C8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8-36F8-4562-939D-4E4464B0A9C8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19-36F8-4562-939D-4E4464B0A9C8}"/>
              </c:ext>
            </c:extLst>
          </c:dPt>
          <c:dLbls>
            <c:dLbl>
              <c:idx val="0"/>
              <c:layout>
                <c:manualLayout>
                  <c:x val="-6.9444357649738234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046296296296295"/>
                      <c:h val="8.66863391772261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6F8-4562-939D-4E4464B0A9C8}"/>
                </c:ext>
              </c:extLst>
            </c:dLbl>
            <c:dLbl>
              <c:idx val="1"/>
              <c:layout>
                <c:manualLayout>
                  <c:x val="1.7465872321515287E-2"/>
                  <c:y val="0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F8-4562-939D-4E4464B0A9C8}"/>
                </c:ext>
              </c:extLst>
            </c:dLbl>
            <c:dLbl>
              <c:idx val="2"/>
              <c:layout>
                <c:manualLayout>
                  <c:x val="0.19564620394672888"/>
                  <c:y val="3.4716195105016473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99029982363316"/>
                      <c:h val="0.156118729387259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6F8-4562-939D-4E4464B0A9C8}"/>
                </c:ext>
              </c:extLst>
            </c:dLbl>
            <c:dLbl>
              <c:idx val="3"/>
              <c:layout>
                <c:manualLayout>
                  <c:x val="0.26896256023552612"/>
                  <c:y val="3.1080562074333662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F8-4562-939D-4E4464B0A9C8}"/>
                </c:ext>
              </c:extLst>
            </c:dLbl>
            <c:dLbl>
              <c:idx val="4"/>
              <c:layout>
                <c:manualLayout>
                  <c:x val="2.0159025260731225E-2"/>
                  <c:y val="1.8716949567209325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27548639753364"/>
                      <c:h val="8.66863391772261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6F8-4562-939D-4E4464B0A9C8}"/>
                </c:ext>
              </c:extLst>
            </c:dLbl>
            <c:dLbl>
              <c:idx val="5"/>
              <c:layout>
                <c:manualLayout>
                  <c:x val="2.8659611992945245E-2"/>
                  <c:y val="5.207429265752473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6F8-4562-939D-4E4464B0A9C8}"/>
                </c:ext>
              </c:extLst>
            </c:dLbl>
            <c:dLbl>
              <c:idx val="8"/>
              <c:layout>
                <c:manualLayout>
                  <c:x val="-6.6154354468067764E-2"/>
                  <c:y val="7.459207459207460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6F8-4562-939D-4E4464B0A9C8}"/>
                </c:ext>
              </c:extLst>
            </c:dLbl>
            <c:dLbl>
              <c:idx val="9"/>
              <c:layout>
                <c:manualLayout>
                  <c:x val="-7.5342465753424695E-2"/>
                  <c:y val="1.0182773258190673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568571289699899"/>
                      <c:h val="0.1144592952612393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36F8-4562-939D-4E4464B0A9C8}"/>
                </c:ext>
              </c:extLst>
            </c:dLbl>
            <c:dLbl>
              <c:idx val="10"/>
              <c:layout>
                <c:manualLayout>
                  <c:x val="-8.3400165257120656E-2"/>
                  <c:y val="0.2341514418838592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871252204585531E-2"/>
                      <c:h val="0.135289012324249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36F8-4562-939D-4E4464B0A9C8}"/>
                </c:ext>
              </c:extLst>
            </c:dLbl>
            <c:dLbl>
              <c:idx val="11"/>
              <c:layout>
                <c:manualLayout>
                  <c:x val="-0.20833498243275148"/>
                  <c:y val="-4.5625827755734665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045501256787332E-2"/>
                      <c:h val="8.66863391772261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36F8-4562-939D-4E4464B0A9C8}"/>
                </c:ext>
              </c:extLst>
            </c:dLbl>
            <c:dLbl>
              <c:idx val="12"/>
              <c:layout>
                <c:manualLayout>
                  <c:x val="-6.6137566137566162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384038800705467"/>
                      <c:h val="8.66863391772261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36F8-4562-939D-4E4464B0A9C8}"/>
                </c:ext>
              </c:extLst>
            </c:dLbl>
            <c:dLbl>
              <c:idx val="13"/>
              <c:layout>
                <c:manualLayout>
                  <c:x val="-2.6455026455026454E-2"/>
                  <c:y val="3.471619510501649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6F8-4562-939D-4E4464B0A9C8}"/>
                </c:ext>
              </c:extLst>
            </c:dLbl>
            <c:dLbl>
              <c:idx val="14"/>
              <c:layout>
                <c:manualLayout>
                  <c:x val="-5.9523809523809562E-2"/>
                  <c:y val="-1.041485853150494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6F8-4562-939D-4E4464B0A9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Sheet1!$A$5:$A$19</c:f>
              <c:strCache>
                <c:ptCount val="15"/>
                <c:pt idx="0">
                  <c:v>Братя Даскалови</c:v>
                </c:pt>
                <c:pt idx="1">
                  <c:v>Бургас</c:v>
                </c:pt>
                <c:pt idx="2">
                  <c:v>Долни чифлик</c:v>
                </c:pt>
                <c:pt idx="3">
                  <c:v>Мъглиж</c:v>
                </c:pt>
                <c:pt idx="4">
                  <c:v>Николаево</c:v>
                </c:pt>
                <c:pt idx="5">
                  <c:v>Плевен</c:v>
                </c:pt>
                <c:pt idx="6">
                  <c:v>Стралджа</c:v>
                </c:pt>
                <c:pt idx="7">
                  <c:v>Тунджа</c:v>
                </c:pt>
                <c:pt idx="8">
                  <c:v>Болярово</c:v>
                </c:pt>
                <c:pt idx="9">
                  <c:v>Нова Загора</c:v>
                </c:pt>
                <c:pt idx="10">
                  <c:v>Севлиево</c:v>
                </c:pt>
                <c:pt idx="11">
                  <c:v>Сливен</c:v>
                </c:pt>
                <c:pt idx="12">
                  <c:v>Сунгурларе</c:v>
                </c:pt>
                <c:pt idx="13">
                  <c:v>Чирпан</c:v>
                </c:pt>
                <c:pt idx="14">
                  <c:v>Елхово</c:v>
                </c:pt>
              </c:strCache>
            </c:strRef>
          </c:cat>
          <c:val>
            <c:numRef>
              <c:f>Sheet1!$B$5:$B$19</c:f>
              <c:numCache>
                <c:formatCode>0.000</c:formatCode>
                <c:ptCount val="15"/>
                <c:pt idx="0">
                  <c:v>23</c:v>
                </c:pt>
                <c:pt idx="1">
                  <c:v>29</c:v>
                </c:pt>
                <c:pt idx="2">
                  <c:v>52.396999999999991</c:v>
                </c:pt>
                <c:pt idx="3">
                  <c:v>44.006</c:v>
                </c:pt>
                <c:pt idx="4">
                  <c:v>87.733000000000018</c:v>
                </c:pt>
                <c:pt idx="5">
                  <c:v>1056.2429999999999</c:v>
                </c:pt>
                <c:pt idx="6">
                  <c:v>1071.3170000000005</c:v>
                </c:pt>
                <c:pt idx="7">
                  <c:v>677.63</c:v>
                </c:pt>
                <c:pt idx="8">
                  <c:v>1427.3410000000001</c:v>
                </c:pt>
                <c:pt idx="9">
                  <c:v>60.38900000000001</c:v>
                </c:pt>
                <c:pt idx="10">
                  <c:v>178.88599999999994</c:v>
                </c:pt>
                <c:pt idx="11">
                  <c:v>40.192999999999998</c:v>
                </c:pt>
                <c:pt idx="12">
                  <c:v>20.25</c:v>
                </c:pt>
                <c:pt idx="13">
                  <c:v>11.423</c:v>
                </c:pt>
                <c:pt idx="14">
                  <c:v>553.50500000000011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36F8-4562-939D-4E4464B0A9C8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36F8-4562-939D-4E4464B0A9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36F8-4562-939D-4E4464B0A9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36F8-4562-939D-4E4464B0A9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36F8-4562-939D-4E4464B0A9C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36F8-4562-939D-4E4464B0A9C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36F8-4562-939D-4E4464B0A9C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36F8-4562-939D-4E4464B0A9C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36F8-4562-939D-4E4464B0A9C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36F8-4562-939D-4E4464B0A9C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36F8-4562-939D-4E4464B0A9C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36F8-4562-939D-4E4464B0A9C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36F8-4562-939D-4E4464B0A9C8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4-36F8-4562-939D-4E4464B0A9C8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5-36F8-4562-939D-4E4464B0A9C8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Sheet1!$A$5:$A$19</c:f>
              <c:strCache>
                <c:ptCount val="15"/>
                <c:pt idx="0">
                  <c:v>Братя Даскалови</c:v>
                </c:pt>
                <c:pt idx="1">
                  <c:v>Бургас</c:v>
                </c:pt>
                <c:pt idx="2">
                  <c:v>Долни чифлик</c:v>
                </c:pt>
                <c:pt idx="3">
                  <c:v>Мъглиж</c:v>
                </c:pt>
                <c:pt idx="4">
                  <c:v>Николаево</c:v>
                </c:pt>
                <c:pt idx="5">
                  <c:v>Плевен</c:v>
                </c:pt>
                <c:pt idx="6">
                  <c:v>Стралджа</c:v>
                </c:pt>
                <c:pt idx="7">
                  <c:v>Тунджа</c:v>
                </c:pt>
                <c:pt idx="8">
                  <c:v>Болярово</c:v>
                </c:pt>
                <c:pt idx="9">
                  <c:v>Нова Загора</c:v>
                </c:pt>
                <c:pt idx="10">
                  <c:v>Севлиево</c:v>
                </c:pt>
                <c:pt idx="11">
                  <c:v>Сливен</c:v>
                </c:pt>
                <c:pt idx="12">
                  <c:v>Сунгурларе</c:v>
                </c:pt>
                <c:pt idx="13">
                  <c:v>Чирпан</c:v>
                </c:pt>
                <c:pt idx="14">
                  <c:v>Елхово</c:v>
                </c:pt>
              </c:strCache>
            </c:strRef>
          </c:cat>
          <c:val>
            <c:numRef>
              <c:f>Sheet1!$C$5:$C$19</c:f>
              <c:numCache>
                <c:formatCode>0.00</c:formatCode>
                <c:ptCount val="15"/>
                <c:pt idx="0">
                  <c:v>0.43125164414689332</c:v>
                </c:pt>
                <c:pt idx="1">
                  <c:v>0.54375207305477846</c:v>
                </c:pt>
                <c:pt idx="2">
                  <c:v>0.98244749558107669</c:v>
                </c:pt>
                <c:pt idx="3">
                  <c:v>0.82511564575339946</c:v>
                </c:pt>
                <c:pt idx="4">
                  <c:v>1.6450000215625826</c:v>
                </c:pt>
                <c:pt idx="5">
                  <c:v>19.804631755158564</c:v>
                </c:pt>
                <c:pt idx="6">
                  <c:v>20.087270332718152</c:v>
                </c:pt>
                <c:pt idx="7">
                  <c:v>12.70561094014171</c:v>
                </c:pt>
                <c:pt idx="8">
                  <c:v>26.762745782968299</c:v>
                </c:pt>
                <c:pt idx="9">
                  <c:v>1.13229806688638</c:v>
                </c:pt>
                <c:pt idx="10">
                  <c:v>3.3541252876026579</c:v>
                </c:pt>
                <c:pt idx="11">
                  <c:v>0.7536216231824383</c:v>
                </c:pt>
                <c:pt idx="12">
                  <c:v>0.37968894756411259</c:v>
                </c:pt>
                <c:pt idx="13">
                  <c:v>0.2141820665691288</c:v>
                </c:pt>
                <c:pt idx="14">
                  <c:v>10.378258317109836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6-36F8-4562-939D-4E4464B0A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5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F8-4562-939D-4E4464B0A9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F8-4562-939D-4E4464B0A9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F8-4562-939D-4E4464B0A9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6F8-4562-939D-4E4464B0A9C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6F8-4562-939D-4E4464B0A9C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6F8-4562-939D-4E4464B0A9C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6F8-4562-939D-4E4464B0A9C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6F8-4562-939D-4E4464B0A9C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6F8-4562-939D-4E4464B0A9C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6F8-4562-939D-4E4464B0A9C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6F8-4562-939D-4E4464B0A9C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6F8-4562-939D-4E4464B0A9C8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8-36F8-4562-939D-4E4464B0A9C8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19-36F8-4562-939D-4E4464B0A9C8}"/>
              </c:ext>
            </c:extLst>
          </c:dPt>
          <c:dLbls>
            <c:dLbl>
              <c:idx val="0"/>
              <c:layout>
                <c:manualLayout>
                  <c:x val="-6.9444357649738234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046296296296295"/>
                      <c:h val="8.66863391772261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6F8-4562-939D-4E4464B0A9C8}"/>
                </c:ext>
              </c:extLst>
            </c:dLbl>
            <c:dLbl>
              <c:idx val="1"/>
              <c:layout>
                <c:manualLayout>
                  <c:x val="1.7465872321515287E-2"/>
                  <c:y val="0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F8-4562-939D-4E4464B0A9C8}"/>
                </c:ext>
              </c:extLst>
            </c:dLbl>
            <c:dLbl>
              <c:idx val="2"/>
              <c:layout>
                <c:manualLayout>
                  <c:x val="0.19564620394672888"/>
                  <c:y val="3.4716195105016473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99029982363316"/>
                      <c:h val="0.156118729387259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6F8-4562-939D-4E4464B0A9C8}"/>
                </c:ext>
              </c:extLst>
            </c:dLbl>
            <c:dLbl>
              <c:idx val="3"/>
              <c:layout>
                <c:manualLayout>
                  <c:x val="0.26896256023552612"/>
                  <c:y val="3.1080562074333662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F8-4562-939D-4E4464B0A9C8}"/>
                </c:ext>
              </c:extLst>
            </c:dLbl>
            <c:dLbl>
              <c:idx val="4"/>
              <c:layout>
                <c:manualLayout>
                  <c:x val="2.0159025260731225E-2"/>
                  <c:y val="1.8716949567209325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27548639753364"/>
                      <c:h val="8.66863391772261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6F8-4562-939D-4E4464B0A9C8}"/>
                </c:ext>
              </c:extLst>
            </c:dLbl>
            <c:dLbl>
              <c:idx val="5"/>
              <c:layout>
                <c:manualLayout>
                  <c:x val="2.8659611992945245E-2"/>
                  <c:y val="5.207429265752473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6F8-4562-939D-4E4464B0A9C8}"/>
                </c:ext>
              </c:extLst>
            </c:dLbl>
            <c:dLbl>
              <c:idx val="8"/>
              <c:layout>
                <c:manualLayout>
                  <c:x val="-6.6154354468067764E-2"/>
                  <c:y val="7.459207459207460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6F8-4562-939D-4E4464B0A9C8}"/>
                </c:ext>
              </c:extLst>
            </c:dLbl>
            <c:dLbl>
              <c:idx val="9"/>
              <c:layout>
                <c:manualLayout>
                  <c:x val="-7.5342465753424695E-2"/>
                  <c:y val="1.0182773258190673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568571289699899"/>
                      <c:h val="0.1144592952612393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36F8-4562-939D-4E4464B0A9C8}"/>
                </c:ext>
              </c:extLst>
            </c:dLbl>
            <c:dLbl>
              <c:idx val="10"/>
              <c:layout>
                <c:manualLayout>
                  <c:x val="-8.3400165257120656E-2"/>
                  <c:y val="0.2341514418838592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871252204585531E-2"/>
                      <c:h val="0.135289012324249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36F8-4562-939D-4E4464B0A9C8}"/>
                </c:ext>
              </c:extLst>
            </c:dLbl>
            <c:dLbl>
              <c:idx val="11"/>
              <c:layout>
                <c:manualLayout>
                  <c:x val="-0.20833498243275148"/>
                  <c:y val="-4.5625827755734665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045501256787332E-2"/>
                      <c:h val="8.66863391772261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36F8-4562-939D-4E4464B0A9C8}"/>
                </c:ext>
              </c:extLst>
            </c:dLbl>
            <c:dLbl>
              <c:idx val="12"/>
              <c:layout>
                <c:manualLayout>
                  <c:x val="-6.6137566137566162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384038800705467"/>
                      <c:h val="8.66863391772261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36F8-4562-939D-4E4464B0A9C8}"/>
                </c:ext>
              </c:extLst>
            </c:dLbl>
            <c:dLbl>
              <c:idx val="13"/>
              <c:layout>
                <c:manualLayout>
                  <c:x val="-2.6455026455026454E-2"/>
                  <c:y val="3.471619510501649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6F8-4562-939D-4E4464B0A9C8}"/>
                </c:ext>
              </c:extLst>
            </c:dLbl>
            <c:dLbl>
              <c:idx val="14"/>
              <c:layout>
                <c:manualLayout>
                  <c:x val="-5.9523809523809562E-2"/>
                  <c:y val="-1.041485853150494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6F8-4562-939D-4E4464B0A9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Sheet1!$A$5:$A$19</c:f>
              <c:strCache>
                <c:ptCount val="15"/>
                <c:pt idx="0">
                  <c:v>Братя Даскалови</c:v>
                </c:pt>
                <c:pt idx="1">
                  <c:v>Бургас</c:v>
                </c:pt>
                <c:pt idx="2">
                  <c:v>Долни чифлик</c:v>
                </c:pt>
                <c:pt idx="3">
                  <c:v>Мъглиж</c:v>
                </c:pt>
                <c:pt idx="4">
                  <c:v>Николаево</c:v>
                </c:pt>
                <c:pt idx="5">
                  <c:v>Плевен</c:v>
                </c:pt>
                <c:pt idx="6">
                  <c:v>Стралджа</c:v>
                </c:pt>
                <c:pt idx="7">
                  <c:v>Тунджа</c:v>
                </c:pt>
                <c:pt idx="8">
                  <c:v>Болярово</c:v>
                </c:pt>
                <c:pt idx="9">
                  <c:v>Нова Загора</c:v>
                </c:pt>
                <c:pt idx="10">
                  <c:v>Севлиево</c:v>
                </c:pt>
                <c:pt idx="11">
                  <c:v>Сливен</c:v>
                </c:pt>
                <c:pt idx="12">
                  <c:v>Сунгурларе</c:v>
                </c:pt>
                <c:pt idx="13">
                  <c:v>Чирпан</c:v>
                </c:pt>
                <c:pt idx="14">
                  <c:v>Елхово</c:v>
                </c:pt>
              </c:strCache>
            </c:strRef>
          </c:cat>
          <c:val>
            <c:numRef>
              <c:f>Sheet1!$B$5:$B$19</c:f>
              <c:numCache>
                <c:formatCode>0.000</c:formatCode>
                <c:ptCount val="15"/>
                <c:pt idx="0">
                  <c:v>23</c:v>
                </c:pt>
                <c:pt idx="1">
                  <c:v>29</c:v>
                </c:pt>
                <c:pt idx="2">
                  <c:v>52.396999999999991</c:v>
                </c:pt>
                <c:pt idx="3">
                  <c:v>44.006</c:v>
                </c:pt>
                <c:pt idx="4">
                  <c:v>87.733000000000018</c:v>
                </c:pt>
                <c:pt idx="5">
                  <c:v>1056.2429999999999</c:v>
                </c:pt>
                <c:pt idx="6">
                  <c:v>1071.3170000000005</c:v>
                </c:pt>
                <c:pt idx="7">
                  <c:v>677.63</c:v>
                </c:pt>
                <c:pt idx="8">
                  <c:v>1427.3410000000001</c:v>
                </c:pt>
                <c:pt idx="9">
                  <c:v>60.38900000000001</c:v>
                </c:pt>
                <c:pt idx="10">
                  <c:v>178.88599999999994</c:v>
                </c:pt>
                <c:pt idx="11">
                  <c:v>40.192999999999998</c:v>
                </c:pt>
                <c:pt idx="12">
                  <c:v>20.25</c:v>
                </c:pt>
                <c:pt idx="13">
                  <c:v>11.423</c:v>
                </c:pt>
                <c:pt idx="14">
                  <c:v>553.50500000000011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36F8-4562-939D-4E4464B0A9C8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36F8-4562-939D-4E4464B0A9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36F8-4562-939D-4E4464B0A9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36F8-4562-939D-4E4464B0A9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36F8-4562-939D-4E4464B0A9C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36F8-4562-939D-4E4464B0A9C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36F8-4562-939D-4E4464B0A9C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36F8-4562-939D-4E4464B0A9C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36F8-4562-939D-4E4464B0A9C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36F8-4562-939D-4E4464B0A9C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36F8-4562-939D-4E4464B0A9C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36F8-4562-939D-4E4464B0A9C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36F8-4562-939D-4E4464B0A9C8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4-36F8-4562-939D-4E4464B0A9C8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5-36F8-4562-939D-4E4464B0A9C8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Sheet1!$A$5:$A$19</c:f>
              <c:strCache>
                <c:ptCount val="15"/>
                <c:pt idx="0">
                  <c:v>Братя Даскалови</c:v>
                </c:pt>
                <c:pt idx="1">
                  <c:v>Бургас</c:v>
                </c:pt>
                <c:pt idx="2">
                  <c:v>Долни чифлик</c:v>
                </c:pt>
                <c:pt idx="3">
                  <c:v>Мъглиж</c:v>
                </c:pt>
                <c:pt idx="4">
                  <c:v>Николаево</c:v>
                </c:pt>
                <c:pt idx="5">
                  <c:v>Плевен</c:v>
                </c:pt>
                <c:pt idx="6">
                  <c:v>Стралджа</c:v>
                </c:pt>
                <c:pt idx="7">
                  <c:v>Тунджа</c:v>
                </c:pt>
                <c:pt idx="8">
                  <c:v>Болярово</c:v>
                </c:pt>
                <c:pt idx="9">
                  <c:v>Нова Загора</c:v>
                </c:pt>
                <c:pt idx="10">
                  <c:v>Севлиево</c:v>
                </c:pt>
                <c:pt idx="11">
                  <c:v>Сливен</c:v>
                </c:pt>
                <c:pt idx="12">
                  <c:v>Сунгурларе</c:v>
                </c:pt>
                <c:pt idx="13">
                  <c:v>Чирпан</c:v>
                </c:pt>
                <c:pt idx="14">
                  <c:v>Елхово</c:v>
                </c:pt>
              </c:strCache>
            </c:strRef>
          </c:cat>
          <c:val>
            <c:numRef>
              <c:f>Sheet1!$C$5:$C$19</c:f>
              <c:numCache>
                <c:formatCode>0.00</c:formatCode>
                <c:ptCount val="15"/>
                <c:pt idx="0">
                  <c:v>0.43125164414689332</c:v>
                </c:pt>
                <c:pt idx="1">
                  <c:v>0.54375207305477846</c:v>
                </c:pt>
                <c:pt idx="2">
                  <c:v>0.98244749558107669</c:v>
                </c:pt>
                <c:pt idx="3">
                  <c:v>0.82511564575339946</c:v>
                </c:pt>
                <c:pt idx="4">
                  <c:v>1.6450000215625826</c:v>
                </c:pt>
                <c:pt idx="5">
                  <c:v>19.804631755158564</c:v>
                </c:pt>
                <c:pt idx="6">
                  <c:v>20.087270332718152</c:v>
                </c:pt>
                <c:pt idx="7">
                  <c:v>12.70561094014171</c:v>
                </c:pt>
                <c:pt idx="8">
                  <c:v>26.762745782968299</c:v>
                </c:pt>
                <c:pt idx="9">
                  <c:v>1.13229806688638</c:v>
                </c:pt>
                <c:pt idx="10">
                  <c:v>3.3541252876026579</c:v>
                </c:pt>
                <c:pt idx="11">
                  <c:v>0.7536216231824383</c:v>
                </c:pt>
                <c:pt idx="12">
                  <c:v>0.37968894756411259</c:v>
                </c:pt>
                <c:pt idx="13">
                  <c:v>0.2141820665691288</c:v>
                </c:pt>
                <c:pt idx="14">
                  <c:v>10.378258317109836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6-36F8-4562-939D-4E4464B0A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5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2F38-8108-49FA-8CDB-4D5DDBCE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</dc:creator>
  <cp:keywords/>
  <cp:lastModifiedBy>Valentin Stoilov</cp:lastModifiedBy>
  <cp:revision>60</cp:revision>
  <dcterms:created xsi:type="dcterms:W3CDTF">2026-04-24T21:36:00Z</dcterms:created>
  <dcterms:modified xsi:type="dcterms:W3CDTF">2026-04-28T07:05:00Z</dcterms:modified>
</cp:coreProperties>
</file>